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1" w:rsidRDefault="00585463" w:rsidP="00EC108A">
      <w:r w:rsidRPr="00CA513B">
        <w:rPr>
          <w:rStyle w:val="Strong"/>
          <w:noProof/>
          <w:color w:val="1F497D" w:themeColor="text2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C0B000" wp14:editId="352C928B">
                <wp:simplePos x="0" y="0"/>
                <wp:positionH relativeFrom="margin">
                  <wp:posOffset>5181600</wp:posOffset>
                </wp:positionH>
                <wp:positionV relativeFrom="margin">
                  <wp:posOffset>-210185</wp:posOffset>
                </wp:positionV>
                <wp:extent cx="2781300" cy="12477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13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Subcommittee: Evaluation</w:t>
                            </w:r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Date: </w:t>
                            </w:r>
                            <w:r w:rsidR="00C35836">
                              <w:rPr>
                                <w:rStyle w:val="Strong"/>
                                <w:color w:val="1F497D" w:themeColor="text2"/>
                              </w:rPr>
                              <w:t>April 22</w:t>
                            </w:r>
                            <w:r w:rsidR="00826C04" w:rsidRPr="001D1950">
                              <w:rPr>
                                <w:rStyle w:val="Strong"/>
                                <w:color w:val="1F497D" w:themeColor="text2"/>
                              </w:rPr>
                              <w:t>, 201</w:t>
                            </w:r>
                            <w:r w:rsidR="00132219" w:rsidRP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Time: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3:0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0 to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:00 pm</w:t>
                            </w:r>
                          </w:p>
                          <w:p w:rsidR="0040415D" w:rsidRDefault="001D1950" w:rsidP="00CA513B">
                            <w:pPr>
                              <w:pStyle w:val="NoSpacing"/>
                            </w:pPr>
                            <w:r w:rsidRPr="001D1950">
                              <w:rPr>
                                <w:b/>
                                <w:color w:val="1F497D" w:themeColor="text2"/>
                              </w:rPr>
                              <w:t>35 Anthony Avenue, Augusta, ME</w:t>
                            </w:r>
                            <w:r w:rsidRPr="001D1950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  <w:r>
                              <w:t>04333</w:t>
                            </w:r>
                          </w:p>
                          <w:p w:rsidR="0040415D" w:rsidRDefault="004041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408pt;margin-top:-16.55pt;width:219pt;height:98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>Subcommittee: Evaluation</w:t>
                      </w:r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Date: </w:t>
                      </w:r>
                      <w:r w:rsidR="00C35836">
                        <w:rPr>
                          <w:rStyle w:val="Strong"/>
                          <w:color w:val="1F497D" w:themeColor="text2"/>
                        </w:rPr>
                        <w:t>April 22</w:t>
                      </w:r>
                      <w:r w:rsidR="00826C04" w:rsidRPr="001D1950">
                        <w:rPr>
                          <w:rStyle w:val="Strong"/>
                          <w:color w:val="1F497D" w:themeColor="text2"/>
                        </w:rPr>
                        <w:t>, 201</w:t>
                      </w:r>
                      <w:r w:rsidR="00132219" w:rsidRP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Time: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3:0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0 to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>:00 pm</w:t>
                      </w:r>
                    </w:p>
                    <w:p w:rsidR="0040415D" w:rsidRDefault="001D1950" w:rsidP="00CA513B">
                      <w:pPr>
                        <w:pStyle w:val="NoSpacing"/>
                      </w:pPr>
                      <w:r w:rsidRPr="001D1950">
                        <w:rPr>
                          <w:b/>
                          <w:color w:val="1F497D" w:themeColor="text2"/>
                        </w:rPr>
                        <w:t>35 Anthony Avenue, Augusta, ME</w:t>
                      </w:r>
                      <w:r w:rsidRPr="001D1950">
                        <w:rPr>
                          <w:color w:val="1F497D" w:themeColor="text2"/>
                        </w:rPr>
                        <w:t xml:space="preserve">  </w:t>
                      </w:r>
                      <w:r>
                        <w:t>04333</w:t>
                      </w:r>
                    </w:p>
                    <w:p w:rsidR="0040415D" w:rsidRDefault="004041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A2661">
        <w:rPr>
          <w:noProof/>
        </w:rPr>
        <w:drawing>
          <wp:inline distT="0" distB="0" distL="0" distR="0">
            <wp:extent cx="244754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im logo_final_1i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13B">
        <w:t xml:space="preserve">                                                      </w:t>
      </w:r>
      <w:r w:rsidR="002A71DC">
        <w:t xml:space="preserve">                                 </w:t>
      </w:r>
      <w:r w:rsidR="00CA513B">
        <w:t xml:space="preserve">   </w:t>
      </w:r>
    </w:p>
    <w:p w:rsidR="00B360D6" w:rsidRPr="00382C14" w:rsidRDefault="00ED2254" w:rsidP="00B360D6">
      <w:bookmarkStart w:id="0" w:name="_GoBack"/>
      <w:bookmarkEnd w:id="0"/>
      <w:r>
        <w:rPr>
          <w:b/>
        </w:rPr>
        <w:t>Co-</w:t>
      </w:r>
      <w:r w:rsidR="00B360D6" w:rsidRPr="00382C14">
        <w:rPr>
          <w:b/>
        </w:rPr>
        <w:t>Chair</w:t>
      </w:r>
      <w:r w:rsidRPr="009E7C50">
        <w:rPr>
          <w:b/>
        </w:rPr>
        <w:t>s</w:t>
      </w:r>
      <w:r>
        <w:t>: Amy Wagner</w:t>
      </w:r>
      <w:r w:rsidR="0040415D">
        <w:t xml:space="preserve"> (</w:t>
      </w:r>
      <w:r>
        <w:t>DHHS/OCQI</w:t>
      </w:r>
      <w:r w:rsidR="0040415D">
        <w:t>)</w:t>
      </w:r>
      <w:r>
        <w:t xml:space="preserve">; Kathy Woods </w:t>
      </w:r>
      <w:r w:rsidR="0040415D">
        <w:t>(</w:t>
      </w:r>
      <w:r>
        <w:t>Lewin</w:t>
      </w:r>
      <w:r w:rsidR="0040415D">
        <w:t>)</w:t>
      </w:r>
      <w:r>
        <w:t xml:space="preserve"> </w:t>
      </w:r>
    </w:p>
    <w:p w:rsidR="00585463" w:rsidRPr="00382C14" w:rsidRDefault="00B360D6" w:rsidP="00B360D6">
      <w:pPr>
        <w:pStyle w:val="NoSpacing"/>
      </w:pPr>
      <w:r w:rsidRPr="00382C14">
        <w:rPr>
          <w:b/>
        </w:rPr>
        <w:t>Core Member Attendance:</w:t>
      </w:r>
      <w:r w:rsidR="009F7035" w:rsidRPr="00382C14">
        <w:t xml:space="preserve"> </w:t>
      </w:r>
      <w:r w:rsidRPr="00382C14">
        <w:t xml:space="preserve"> </w:t>
      </w:r>
      <w:r w:rsidR="0040415D">
        <w:t xml:space="preserve">Poppy Arford (Consumer), </w:t>
      </w:r>
      <w:r w:rsidR="00DC5C80">
        <w:t xml:space="preserve">Peter Kraut (DHHS/MaineCare), </w:t>
      </w:r>
      <w:r w:rsidR="00826C04">
        <w:t>Jay Yoe (DHHS/OCQI)</w:t>
      </w:r>
      <w:r w:rsidR="00A028AE">
        <w:t>, Andrew MacLean</w:t>
      </w:r>
      <w:r w:rsidR="001F41F0">
        <w:t xml:space="preserve"> (Maine Medical Association)</w:t>
      </w:r>
      <w:r w:rsidR="00A028AE">
        <w:t>, Peter Flotten (MeHMC),</w:t>
      </w:r>
      <w:r w:rsidR="00A028AE" w:rsidRPr="00A028AE">
        <w:t xml:space="preserve"> </w:t>
      </w:r>
      <w:r w:rsidR="00A028AE">
        <w:t>Cindy Seekins (Parent of Consumer)</w:t>
      </w:r>
      <w:r w:rsidR="009310E2">
        <w:t>, Jay Yoe (DHHS/OCQI),</w:t>
      </w:r>
      <w:r w:rsidR="00922930" w:rsidRPr="00922930">
        <w:t xml:space="preserve"> </w:t>
      </w:r>
      <w:r w:rsidR="00922930">
        <w:t xml:space="preserve">Jim Leonard (DHHS/MaineCare), </w:t>
      </w:r>
      <w:r w:rsidR="00C35836">
        <w:t>Debra Wigand (Maine CDC)</w:t>
      </w:r>
    </w:p>
    <w:p w:rsidR="008D18D1" w:rsidRDefault="008D18D1" w:rsidP="008D18D1">
      <w:pPr>
        <w:pStyle w:val="NoSpacing"/>
      </w:pPr>
    </w:p>
    <w:p w:rsidR="00B360D6" w:rsidRDefault="00B360D6" w:rsidP="008D18D1">
      <w:pPr>
        <w:pStyle w:val="NoSpacing"/>
      </w:pPr>
      <w:r w:rsidRPr="008D18D1">
        <w:rPr>
          <w:b/>
        </w:rPr>
        <w:t>Interested Parties &amp; Guests</w:t>
      </w:r>
      <w:r w:rsidR="00B10C95" w:rsidRPr="00382C14">
        <w:t xml:space="preserve">: </w:t>
      </w:r>
      <w:r w:rsidR="00A028AE">
        <w:t xml:space="preserve">David Hanig (Lewin), Jessica Newman (Lewin), Andy Paradis (Lewin), </w:t>
      </w:r>
      <w:r w:rsidR="006C04F9">
        <w:t>Jade Christie-Maples (Lewin),</w:t>
      </w:r>
      <w:r w:rsidR="00644791">
        <w:t xml:space="preserve"> </w:t>
      </w:r>
      <w:r w:rsidR="00C520BB">
        <w:t>Sco</w:t>
      </w:r>
      <w:r w:rsidR="00644791">
        <w:t>tt Good (Crescendo Consulting)</w:t>
      </w:r>
    </w:p>
    <w:p w:rsidR="0040415D" w:rsidRDefault="0040415D" w:rsidP="008D18D1">
      <w:pPr>
        <w:pStyle w:val="NoSpacing"/>
      </w:pPr>
    </w:p>
    <w:p w:rsidR="0040415D" w:rsidRPr="0040415D" w:rsidRDefault="0040415D" w:rsidP="008D18D1">
      <w:pPr>
        <w:pStyle w:val="NoSpacing"/>
        <w:rPr>
          <w:b/>
        </w:rPr>
      </w:pPr>
      <w:r w:rsidRPr="0040415D">
        <w:rPr>
          <w:b/>
        </w:rPr>
        <w:t>Unable to attend</w:t>
      </w:r>
      <w:r w:rsidRPr="00132219">
        <w:t>:</w:t>
      </w:r>
      <w:r w:rsidR="00132219">
        <w:t xml:space="preserve"> Simonne Maline (Consumer), </w:t>
      </w:r>
      <w:r w:rsidRPr="00132219">
        <w:t>Sheryl</w:t>
      </w:r>
      <w:r>
        <w:t xml:space="preserve"> Peave</w:t>
      </w:r>
      <w:r w:rsidR="00132219">
        <w:t>y (DHHS/C</w:t>
      </w:r>
      <w:r w:rsidR="00A028AE">
        <w:t>ommissioner’s Office)</w:t>
      </w:r>
      <w:r w:rsidR="00DC5C80">
        <w:t>, Katherine Pelletreau (ME Assoc. of Health Plans), Lisa Letourneau (QC)</w:t>
      </w:r>
      <w:r w:rsidR="00644791">
        <w:t xml:space="preserve">, </w:t>
      </w:r>
      <w:r w:rsidR="00644791" w:rsidRPr="00132219">
        <w:t>Shaun Alfreds (Health</w:t>
      </w:r>
      <w:r w:rsidR="00644791">
        <w:t xml:space="preserve"> </w:t>
      </w:r>
      <w:r w:rsidR="00644791" w:rsidRPr="00132219">
        <w:t>Infonet</w:t>
      </w:r>
      <w:r w:rsidR="00644791">
        <w:t>)</w:t>
      </w:r>
      <w:r w:rsidR="00922930">
        <w:t>, Angela Cole Westhoff (Maine Osteopathic Association), Sadel Davis (UPC of ME), Amy Dix (Office of MaineCare Services)</w:t>
      </w:r>
    </w:p>
    <w:p w:rsidR="00F70000" w:rsidRDefault="00F70000" w:rsidP="00F7000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5130"/>
        <w:gridCol w:w="4604"/>
      </w:tblGrid>
      <w:tr w:rsidR="00E1035C" w:rsidRPr="00382C14" w:rsidTr="00922930">
        <w:trPr>
          <w:tblHeader/>
        </w:trPr>
        <w:tc>
          <w:tcPr>
            <w:tcW w:w="2178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Topics</w:t>
            </w:r>
          </w:p>
        </w:tc>
        <w:tc>
          <w:tcPr>
            <w:tcW w:w="135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513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4604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Actions/Decisions</w:t>
            </w:r>
          </w:p>
        </w:tc>
      </w:tr>
      <w:tr w:rsidR="00E1035C" w:rsidRPr="00382C14" w:rsidTr="00FB5488">
        <w:tc>
          <w:tcPr>
            <w:tcW w:w="2178" w:type="dxa"/>
            <w:vAlign w:val="center"/>
          </w:tcPr>
          <w:p w:rsidR="00E1035C" w:rsidRPr="00382C14" w:rsidRDefault="00826C04" w:rsidP="003847D2">
            <w:pPr>
              <w:pStyle w:val="Formal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&amp; Introductions</w:t>
            </w:r>
            <w:r w:rsidR="00CA676A">
              <w:rPr>
                <w:rFonts w:asciiTheme="minorHAnsi" w:hAnsiTheme="minorHAnsi" w:cstheme="minorHAnsi"/>
                <w:b/>
                <w:sz w:val="22"/>
                <w:szCs w:val="22"/>
              </w:rPr>
              <w:t>, Goals of meeting</w:t>
            </w:r>
          </w:p>
        </w:tc>
        <w:tc>
          <w:tcPr>
            <w:tcW w:w="1350" w:type="dxa"/>
          </w:tcPr>
          <w:p w:rsidR="00E1035C" w:rsidRDefault="00826C04" w:rsidP="00FB5488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Wagner</w:t>
            </w:r>
          </w:p>
          <w:p w:rsidR="008301E0" w:rsidRPr="00382C14" w:rsidRDefault="008301E0" w:rsidP="00FB5488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Woods</w:t>
            </w:r>
          </w:p>
        </w:tc>
        <w:tc>
          <w:tcPr>
            <w:tcW w:w="5130" w:type="dxa"/>
          </w:tcPr>
          <w:p w:rsidR="00CF4902" w:rsidRPr="00CF4902" w:rsidRDefault="00CF4902" w:rsidP="00FB5488">
            <w:pPr>
              <w:pStyle w:val="Formal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4902">
              <w:rPr>
                <w:rFonts w:asciiTheme="minorHAnsi" w:hAnsiTheme="minorHAnsi" w:cstheme="minorHAnsi"/>
                <w:sz w:val="22"/>
                <w:szCs w:val="22"/>
              </w:rPr>
              <w:t>Provide a status update on SIM Self-Evaluation provider, key stakeholder, and consumer interview implementation</w:t>
            </w:r>
          </w:p>
          <w:p w:rsidR="00CF4902" w:rsidRPr="00CF4902" w:rsidRDefault="00CF4902" w:rsidP="00FB5488">
            <w:pPr>
              <w:pStyle w:val="Formal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4902">
              <w:rPr>
                <w:rFonts w:asciiTheme="minorHAnsi" w:hAnsiTheme="minorHAnsi" w:cstheme="minorHAnsi"/>
                <w:sz w:val="22"/>
                <w:szCs w:val="22"/>
              </w:rPr>
              <w:t>Follow up on Core Metrics and Targets for Evaluation Plan</w:t>
            </w:r>
          </w:p>
          <w:p w:rsidR="00CF4902" w:rsidRPr="00CF4902" w:rsidRDefault="00CF4902" w:rsidP="00FB5488">
            <w:pPr>
              <w:pStyle w:val="Formal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4902">
              <w:rPr>
                <w:rFonts w:asciiTheme="minorHAnsi" w:hAnsiTheme="minorHAnsi" w:cstheme="minorHAnsi"/>
                <w:sz w:val="22"/>
                <w:szCs w:val="22"/>
              </w:rPr>
              <w:t>Preliminary discussion of Research Collaborative and vision</w:t>
            </w:r>
          </w:p>
          <w:p w:rsidR="00CF4902" w:rsidRPr="00CF4902" w:rsidRDefault="00CF4902" w:rsidP="00FB5488">
            <w:pPr>
              <w:pStyle w:val="Formal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4902">
              <w:rPr>
                <w:rFonts w:asciiTheme="minorHAnsi" w:hAnsiTheme="minorHAnsi" w:cstheme="minorHAnsi"/>
                <w:sz w:val="22"/>
                <w:szCs w:val="22"/>
              </w:rPr>
              <w:t>Risk Identification</w:t>
            </w:r>
          </w:p>
          <w:p w:rsidR="00B730FC" w:rsidRPr="00CF4902" w:rsidRDefault="00CF4902" w:rsidP="00FB5488">
            <w:pPr>
              <w:pStyle w:val="Formal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F4902">
              <w:rPr>
                <w:rFonts w:asciiTheme="minorHAnsi" w:hAnsiTheme="minorHAnsi" w:cstheme="minorHAnsi"/>
                <w:sz w:val="22"/>
                <w:szCs w:val="22"/>
              </w:rPr>
              <w:t>Update from most recent Steering Committee</w:t>
            </w:r>
          </w:p>
        </w:tc>
        <w:tc>
          <w:tcPr>
            <w:tcW w:w="4604" w:type="dxa"/>
          </w:tcPr>
          <w:p w:rsidR="00E1035C" w:rsidRPr="009A7859" w:rsidRDefault="00E1035C" w:rsidP="00FB5488">
            <w:pPr>
              <w:pStyle w:val="F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791" w:rsidRPr="00382C14" w:rsidTr="00FB5488">
        <w:trPr>
          <w:trHeight w:val="620"/>
        </w:trPr>
        <w:tc>
          <w:tcPr>
            <w:tcW w:w="2178" w:type="dxa"/>
            <w:vAlign w:val="center"/>
          </w:tcPr>
          <w:p w:rsidR="00644791" w:rsidRPr="008301E0" w:rsidRDefault="00644791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8301E0">
              <w:rPr>
                <w:b/>
              </w:rPr>
              <w:t xml:space="preserve">Review and Approve </w:t>
            </w:r>
            <w:r w:rsidR="00922930">
              <w:rPr>
                <w:b/>
              </w:rPr>
              <w:t>March</w:t>
            </w:r>
            <w:r w:rsidRPr="008301E0">
              <w:rPr>
                <w:b/>
              </w:rPr>
              <w:t xml:space="preserve"> 25, 2015 Meeting </w:t>
            </w:r>
            <w:r w:rsidRPr="008301E0">
              <w:rPr>
                <w:b/>
              </w:rPr>
              <w:lastRenderedPageBreak/>
              <w:t>Minutes</w:t>
            </w:r>
          </w:p>
        </w:tc>
        <w:tc>
          <w:tcPr>
            <w:tcW w:w="1350" w:type="dxa"/>
          </w:tcPr>
          <w:p w:rsidR="00644791" w:rsidRPr="00382C14" w:rsidRDefault="00644791" w:rsidP="00FB5488">
            <w:pPr>
              <w:rPr>
                <w:b/>
              </w:rPr>
            </w:pPr>
            <w:r>
              <w:rPr>
                <w:b/>
              </w:rPr>
              <w:lastRenderedPageBreak/>
              <w:t>Wagner</w:t>
            </w:r>
          </w:p>
        </w:tc>
        <w:tc>
          <w:tcPr>
            <w:tcW w:w="5130" w:type="dxa"/>
          </w:tcPr>
          <w:p w:rsidR="003220C6" w:rsidRPr="00A028AE" w:rsidRDefault="008F3561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March 25, 2015 meeting minutes were approved unanimously without any changes suggested</w:t>
            </w:r>
            <w:r w:rsidR="003847D2">
              <w:rPr>
                <w:rFonts w:cstheme="minorHAnsi"/>
              </w:rPr>
              <w:t xml:space="preserve"> for draft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4604" w:type="dxa"/>
          </w:tcPr>
          <w:p w:rsidR="00644791" w:rsidRPr="00DF3E2D" w:rsidRDefault="003847D2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March 25, 2015 meeting minutes approved. 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3220C6" w:rsidRDefault="00644791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3220C6">
              <w:rPr>
                <w:b/>
              </w:rPr>
              <w:lastRenderedPageBreak/>
              <w:t>Status update- Provider, Key Stakeholder, &amp; Consumer interviews</w:t>
            </w:r>
          </w:p>
        </w:tc>
        <w:tc>
          <w:tcPr>
            <w:tcW w:w="1350" w:type="dxa"/>
          </w:tcPr>
          <w:p w:rsidR="00644791" w:rsidRDefault="00644791" w:rsidP="00FB5488">
            <w:pPr>
              <w:rPr>
                <w:b/>
              </w:rPr>
            </w:pPr>
            <w:r>
              <w:rPr>
                <w:b/>
              </w:rPr>
              <w:t>Woods</w:t>
            </w:r>
          </w:p>
        </w:tc>
        <w:tc>
          <w:tcPr>
            <w:tcW w:w="5130" w:type="dxa"/>
          </w:tcPr>
          <w:p w:rsidR="00211F0F" w:rsidRDefault="00CF4902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Provider</w:t>
            </w:r>
          </w:p>
          <w:p w:rsidR="00536D0A" w:rsidRDefault="00536D0A" w:rsidP="00FB5488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Crescendo has begun provider outreach process. Letters were distributed prior to the commencement of the outreach process. Thus far 40 interviews have been completed or scheduled to date. </w:t>
            </w:r>
          </w:p>
          <w:p w:rsidR="00CF4902" w:rsidRDefault="00536D0A" w:rsidP="0032550D">
            <w:pPr>
              <w:pStyle w:val="ListParagraph"/>
              <w:numPr>
                <w:ilvl w:val="2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Feedback has been very positive in the interviews that have been completed.</w:t>
            </w:r>
          </w:p>
          <w:p w:rsidR="00FC0152" w:rsidRDefault="00FC0152" w:rsidP="0032550D">
            <w:pPr>
              <w:pStyle w:val="ListParagraph"/>
              <w:numPr>
                <w:ilvl w:val="2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Interviews are likely to be completed sometime in June, however, where possible, Crescendo may conduct follow-up interviews to collect more from providers with important insights.</w:t>
            </w:r>
          </w:p>
          <w:p w:rsidR="00CF4902" w:rsidRDefault="00CF4902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Stakeholder</w:t>
            </w:r>
          </w:p>
          <w:p w:rsidR="00CF4902" w:rsidRDefault="00536D0A" w:rsidP="00FB5488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Outreach to key stakeholders has yet to begin. Crescendo anticipates beginning this interview process in early May. </w:t>
            </w:r>
          </w:p>
          <w:p w:rsidR="00CF4902" w:rsidRDefault="00CF4902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Consumer</w:t>
            </w:r>
          </w:p>
          <w:p w:rsidR="00CF4902" w:rsidRDefault="00536D0A" w:rsidP="00FB5488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survey and methodology were approved by </w:t>
            </w:r>
            <w:r w:rsidR="0016382B">
              <w:rPr>
                <w:rFonts w:cstheme="minorHAnsi"/>
              </w:rPr>
              <w:t xml:space="preserve">IRB </w:t>
            </w:r>
            <w:r>
              <w:rPr>
                <w:rFonts w:cstheme="minorHAnsi"/>
              </w:rPr>
              <w:t xml:space="preserve">and Market Decisions has begun consumer outreach. </w:t>
            </w:r>
          </w:p>
          <w:p w:rsidR="00FB5488" w:rsidRPr="00A028AE" w:rsidRDefault="0016382B" w:rsidP="0016382B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Information on initial consumer response to interviews and preliminary impressions</w:t>
            </w:r>
            <w:r w:rsidR="00FB54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will be shared at</w:t>
            </w:r>
            <w:r w:rsidR="00FB5488">
              <w:rPr>
                <w:rFonts w:cstheme="minorHAnsi"/>
              </w:rPr>
              <w:t xml:space="preserve"> the next subcommittee meeting. </w:t>
            </w:r>
          </w:p>
        </w:tc>
        <w:tc>
          <w:tcPr>
            <w:tcW w:w="4604" w:type="dxa"/>
          </w:tcPr>
          <w:p w:rsidR="00644791" w:rsidRPr="00A028AE" w:rsidRDefault="00FB5488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Further updates will be provided at the next subcommittee meeting</w:t>
            </w:r>
            <w:r w:rsidR="002D4B00">
              <w:rPr>
                <w:rFonts w:cstheme="minorHAnsi"/>
              </w:rPr>
              <w:t xml:space="preserve"> in May</w:t>
            </w:r>
            <w:r>
              <w:rPr>
                <w:rFonts w:cstheme="minorHAnsi"/>
              </w:rPr>
              <w:t xml:space="preserve"> on the ongoing interview process. 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Default="00922930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Evaluation Plan</w:t>
            </w:r>
          </w:p>
          <w:p w:rsidR="00922930" w:rsidRPr="00922930" w:rsidRDefault="00922930" w:rsidP="003847D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32" w:hanging="144"/>
              <w:contextualSpacing/>
              <w:rPr>
                <w:b/>
                <w:i/>
              </w:rPr>
            </w:pPr>
            <w:r w:rsidRPr="00922930">
              <w:rPr>
                <w:b/>
                <w:i/>
              </w:rPr>
              <w:t>Core Metrics  &amp; targets</w:t>
            </w:r>
          </w:p>
          <w:p w:rsidR="00922930" w:rsidRPr="00922930" w:rsidRDefault="00922930" w:rsidP="003847D2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32" w:hanging="144"/>
              <w:contextualSpacing/>
            </w:pPr>
            <w:r w:rsidRPr="00922930">
              <w:rPr>
                <w:b/>
                <w:i/>
              </w:rPr>
              <w:lastRenderedPageBreak/>
              <w:t>Committee Feedback</w:t>
            </w:r>
          </w:p>
        </w:tc>
        <w:tc>
          <w:tcPr>
            <w:tcW w:w="1350" w:type="dxa"/>
          </w:tcPr>
          <w:p w:rsidR="00644791" w:rsidRPr="00382C14" w:rsidRDefault="00922930" w:rsidP="00FB5488">
            <w:pPr>
              <w:rPr>
                <w:b/>
              </w:rPr>
            </w:pPr>
            <w:r>
              <w:rPr>
                <w:b/>
              </w:rPr>
              <w:lastRenderedPageBreak/>
              <w:t>OCQI &amp; Lewin</w:t>
            </w:r>
          </w:p>
        </w:tc>
        <w:tc>
          <w:tcPr>
            <w:tcW w:w="5130" w:type="dxa"/>
          </w:tcPr>
          <w:p w:rsidR="00F91F74" w:rsidRPr="00680536" w:rsidRDefault="001206D1" w:rsidP="0068053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Lewin is collaborating with the Office of MaineCare Services and the Office of Continuous Quality Improvement to review and validate the methodologies used to calculate core metrics.</w:t>
            </w:r>
          </w:p>
          <w:p w:rsidR="00F91F74" w:rsidRPr="00680536" w:rsidRDefault="001206D1" w:rsidP="0068053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lastRenderedPageBreak/>
              <w:t>Key steps (</w:t>
            </w:r>
            <w:r w:rsidRPr="00680536">
              <w:rPr>
                <w:rFonts w:cstheme="minorHAnsi"/>
                <w:i/>
                <w:iCs/>
              </w:rPr>
              <w:t>following shows steps for MECare data; same steps to be applied to Commercial and Medicare subsequently)</w:t>
            </w:r>
            <w:r w:rsidRPr="00680536">
              <w:rPr>
                <w:rFonts w:cstheme="minorHAnsi"/>
              </w:rPr>
              <w:t>: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Lewin uses claims data to generate measures for ~2/3 of the ME Core Metrics.  (</w:t>
            </w:r>
            <w:r w:rsidRPr="00680536">
              <w:rPr>
                <w:rFonts w:cstheme="minorHAnsi"/>
                <w:i/>
                <w:iCs/>
              </w:rPr>
              <w:t xml:space="preserve">Remaining measures are </w:t>
            </w:r>
            <w:r w:rsidRPr="00680536">
              <w:rPr>
                <w:rFonts w:cstheme="minorHAnsi"/>
                <w:i/>
                <w:iCs/>
                <w:u w:val="single"/>
              </w:rPr>
              <w:t>not</w:t>
            </w:r>
            <w:r w:rsidRPr="00680536">
              <w:rPr>
                <w:rFonts w:cstheme="minorHAnsi"/>
                <w:i/>
                <w:iCs/>
              </w:rPr>
              <w:t xml:space="preserve"> claims-based</w:t>
            </w:r>
            <w:r w:rsidRPr="00680536">
              <w:rPr>
                <w:rFonts w:cstheme="minorHAnsi"/>
              </w:rPr>
              <w:t>)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Compare summary results to reports issued by MECare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Identify any significant differences and compare Lewin and MECare measurement criteria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As needed, explore further with MECare to clearly understand reasons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Finalize each measure by either 1) aligning the criteria; or 2) providing an explanation for any variation</w:t>
            </w:r>
          </w:p>
          <w:p w:rsidR="00F91F74" w:rsidRPr="00680536" w:rsidRDefault="001206D1" w:rsidP="0068053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Commercial and Medicare data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Commercial:  MHDO will release updated commercial files 4/27/15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Medicare:  Obtaining Medicare data still in progress</w:t>
            </w:r>
          </w:p>
          <w:p w:rsidR="00F91F74" w:rsidRPr="00680536" w:rsidRDefault="001206D1" w:rsidP="0068053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Once measures are vetted, identify appropriate benchmarks:</w:t>
            </w:r>
          </w:p>
          <w:p w:rsidR="00F91F74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“</w:t>
            </w:r>
            <w:r w:rsidRPr="00680536">
              <w:rPr>
                <w:rFonts w:cstheme="minorHAnsi"/>
                <w:u w:val="single"/>
              </w:rPr>
              <w:t>Benchmarks</w:t>
            </w:r>
            <w:r w:rsidRPr="00680536">
              <w:rPr>
                <w:rFonts w:cstheme="minorHAnsi"/>
              </w:rPr>
              <w:t>” are usually defined as how the top 90</w:t>
            </w:r>
            <w:r w:rsidRPr="00680536">
              <w:rPr>
                <w:rFonts w:cstheme="minorHAnsi"/>
                <w:vertAlign w:val="superscript"/>
              </w:rPr>
              <w:t>th</w:t>
            </w:r>
            <w:r w:rsidRPr="00680536">
              <w:rPr>
                <w:rFonts w:cstheme="minorHAnsi"/>
              </w:rPr>
              <w:t xml:space="preserve"> percentile performs.  Example:  </w:t>
            </w:r>
            <w:r w:rsidRPr="00680536">
              <w:rPr>
                <w:rFonts w:cstheme="minorHAnsi"/>
                <w:i/>
                <w:iCs/>
              </w:rPr>
              <w:t>For the top 10% of providers, XX% of their patients received the correct procedure</w:t>
            </w:r>
            <w:r w:rsidRPr="00680536">
              <w:rPr>
                <w:rFonts w:cstheme="minorHAnsi"/>
              </w:rPr>
              <w:t>.</w:t>
            </w:r>
          </w:p>
          <w:p w:rsidR="00560D85" w:rsidRPr="00263803" w:rsidRDefault="00560D85" w:rsidP="00560D85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  <w:i/>
              </w:rPr>
            </w:pPr>
            <w:r w:rsidRPr="00560D85">
              <w:rPr>
                <w:rFonts w:cstheme="minorHAnsi"/>
              </w:rPr>
              <w:t xml:space="preserve">Minutes approved with one clarification.  </w:t>
            </w:r>
            <w:r w:rsidRPr="00263803">
              <w:rPr>
                <w:rFonts w:cstheme="minorHAnsi"/>
                <w:i/>
              </w:rPr>
              <w:t xml:space="preserve">Commercial and Medicaid benchmarks shown on the dashboard are the 90th percentile of Medicaid HMOs as reported </w:t>
            </w:r>
            <w:r w:rsidRPr="00263803">
              <w:rPr>
                <w:rFonts w:cstheme="minorHAnsi"/>
                <w:i/>
              </w:rPr>
              <w:lastRenderedPageBreak/>
              <w:t>by HEDIS.  The ABC benchmark is calculated by Lewin and is based on the top 10% of health home providers using MaineCare data.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 xml:space="preserve">Benchmarks are </w:t>
            </w:r>
            <w:r w:rsidRPr="00680536">
              <w:rPr>
                <w:rFonts w:cstheme="minorHAnsi"/>
                <w:u w:val="single"/>
              </w:rPr>
              <w:t>guideposts</w:t>
            </w:r>
            <w:r w:rsidRPr="00680536">
              <w:rPr>
                <w:rFonts w:cstheme="minorHAnsi"/>
              </w:rPr>
              <w:t xml:space="preserve"> to what the system can aspire to.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 xml:space="preserve">For </w:t>
            </w:r>
            <w:r w:rsidRPr="00680536">
              <w:rPr>
                <w:rFonts w:cstheme="minorHAnsi"/>
                <w:u w:val="single"/>
              </w:rPr>
              <w:t>overall</w:t>
            </w:r>
            <w:r w:rsidRPr="00680536">
              <w:rPr>
                <w:rFonts w:cstheme="minorHAnsi"/>
              </w:rPr>
              <w:t xml:space="preserve"> ME SIM performance, we identify national benchmarks, such as NCQA, CMS, NQF. If a relevant national example isn’t available, we won’t display a national benchmark.</w:t>
            </w:r>
          </w:p>
          <w:p w:rsidR="00F91F74" w:rsidRPr="00680536" w:rsidRDefault="001206D1" w:rsidP="00680536">
            <w:pPr>
              <w:pStyle w:val="ListParagraph"/>
              <w:numPr>
                <w:ilvl w:val="1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For HHs and BHHs, we calculate the 90% benchmark based on the ME Care data and the providers participating in those programs using the “Achievable Benchmarks of Care” (ABC) Methodology.  This is the 90% measure that is statistically adjusted</w:t>
            </w:r>
          </w:p>
          <w:p w:rsidR="00F91F74" w:rsidRPr="00680536" w:rsidRDefault="001206D1" w:rsidP="0068053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680536">
              <w:rPr>
                <w:rFonts w:cstheme="minorHAnsi"/>
              </w:rPr>
              <w:t>Stakeholders can then use the benchmarks to help select “</w:t>
            </w:r>
            <w:r w:rsidRPr="00680536">
              <w:rPr>
                <w:rFonts w:cstheme="minorHAnsi"/>
                <w:u w:val="single"/>
              </w:rPr>
              <w:t>Targets</w:t>
            </w:r>
            <w:r w:rsidRPr="00680536">
              <w:rPr>
                <w:rFonts w:cstheme="minorHAnsi"/>
              </w:rPr>
              <w:t>”</w:t>
            </w:r>
          </w:p>
          <w:p w:rsidR="00680536" w:rsidRPr="00E91865" w:rsidRDefault="00680536" w:rsidP="00E91865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 w:rsidRPr="00680536">
              <w:rPr>
                <w:rFonts w:cstheme="minorHAnsi"/>
                <w:u w:val="single"/>
              </w:rPr>
              <w:t>Targets</w:t>
            </w:r>
            <w:r w:rsidRPr="00680536">
              <w:rPr>
                <w:rFonts w:cstheme="minorHAnsi"/>
              </w:rPr>
              <w:t xml:space="preserve"> are </w:t>
            </w:r>
            <w:r w:rsidRPr="00680536">
              <w:rPr>
                <w:rFonts w:cstheme="minorHAnsi"/>
                <w:i/>
                <w:iCs/>
              </w:rPr>
              <w:t xml:space="preserve">achievable goals </w:t>
            </w:r>
            <w:r w:rsidRPr="00680536">
              <w:rPr>
                <w:rFonts w:cstheme="minorHAnsi"/>
              </w:rPr>
              <w:t>that promote accountability and can be readily monitored</w:t>
            </w:r>
          </w:p>
        </w:tc>
        <w:tc>
          <w:tcPr>
            <w:tcW w:w="4604" w:type="dxa"/>
          </w:tcPr>
          <w:p w:rsidR="00644791" w:rsidRDefault="00680536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Written feedback on Evaluation Plan is due the end of April to the subcommittee co-chairs. </w:t>
            </w:r>
          </w:p>
          <w:p w:rsidR="00C35836" w:rsidRPr="00AA6364" w:rsidRDefault="00C35836" w:rsidP="00FB54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further analysis, a small group may be </w:t>
            </w:r>
            <w:r>
              <w:rPr>
                <w:rFonts w:cstheme="minorHAnsi"/>
              </w:rPr>
              <w:lastRenderedPageBreak/>
              <w:t>convened to review performance targets. This review would then be brought to the subcommittee and up to the steering committee.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8301E0" w:rsidRDefault="00922930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Research Collaborative</w:t>
            </w:r>
          </w:p>
        </w:tc>
        <w:tc>
          <w:tcPr>
            <w:tcW w:w="1350" w:type="dxa"/>
          </w:tcPr>
          <w:p w:rsidR="008301E0" w:rsidRPr="00382C14" w:rsidRDefault="00922930" w:rsidP="00FB5488">
            <w:pPr>
              <w:rPr>
                <w:b/>
              </w:rPr>
            </w:pPr>
            <w:r>
              <w:rPr>
                <w:b/>
              </w:rPr>
              <w:t>Yoe</w:t>
            </w:r>
          </w:p>
        </w:tc>
        <w:tc>
          <w:tcPr>
            <w:tcW w:w="5130" w:type="dxa"/>
          </w:tcPr>
          <w:p w:rsidR="00F91F74" w:rsidRPr="00E91865" w:rsidRDefault="00E91865" w:rsidP="00E91865">
            <w:pPr>
              <w:pStyle w:val="ListParagraph"/>
              <w:numPr>
                <w:ilvl w:val="0"/>
                <w:numId w:val="29"/>
              </w:numPr>
            </w:pPr>
            <w:r>
              <w:t xml:space="preserve">The SIM Research Collaborative aims to </w:t>
            </w:r>
            <w:r w:rsidRPr="00E91865">
              <w:t>establish an ongoing research and evaluation collaborative to build upon the evaluative research occurring under the SIM grant.</w:t>
            </w:r>
            <w:r>
              <w:t xml:space="preserve"> </w:t>
            </w:r>
            <w:r w:rsidR="001206D1" w:rsidRPr="00E91865">
              <w:t>The collaborative will:</w:t>
            </w:r>
          </w:p>
          <w:p w:rsidR="00F91F74" w:rsidRPr="00E91865" w:rsidRDefault="001206D1" w:rsidP="00E91865">
            <w:pPr>
              <w:pStyle w:val="ListParagraph"/>
              <w:numPr>
                <w:ilvl w:val="1"/>
                <w:numId w:val="29"/>
              </w:numPr>
            </w:pPr>
            <w:r w:rsidRPr="00E91865">
              <w:t>Facilitate ongoing research studies</w:t>
            </w:r>
          </w:p>
          <w:p w:rsidR="00F91F74" w:rsidRPr="00E91865" w:rsidRDefault="001206D1" w:rsidP="00E91865">
            <w:pPr>
              <w:pStyle w:val="ListParagraph"/>
              <w:numPr>
                <w:ilvl w:val="1"/>
                <w:numId w:val="29"/>
              </w:numPr>
            </w:pPr>
            <w:r w:rsidRPr="00E91865">
              <w:t>Test innovative health care delivery and reform approaches</w:t>
            </w:r>
          </w:p>
          <w:p w:rsidR="00F91F74" w:rsidRPr="00E91865" w:rsidRDefault="001206D1" w:rsidP="00E91865">
            <w:pPr>
              <w:pStyle w:val="ListParagraph"/>
              <w:numPr>
                <w:ilvl w:val="1"/>
                <w:numId w:val="29"/>
              </w:numPr>
            </w:pPr>
            <w:r w:rsidRPr="00E91865">
              <w:t>Implement targeted quality improvement initiatives</w:t>
            </w:r>
          </w:p>
          <w:p w:rsidR="00F91F74" w:rsidRPr="00E91865" w:rsidRDefault="001206D1" w:rsidP="00E91865">
            <w:pPr>
              <w:pStyle w:val="ListParagraph"/>
              <w:numPr>
                <w:ilvl w:val="1"/>
                <w:numId w:val="29"/>
              </w:numPr>
            </w:pPr>
            <w:r w:rsidRPr="00E91865">
              <w:t>Develop focused strategies for translating research</w:t>
            </w:r>
          </w:p>
          <w:p w:rsidR="00D83F49" w:rsidRDefault="00E91865" w:rsidP="00E91865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 xml:space="preserve">OCQI and SIM leadership will support the development of the necessary infrastructure and assist with convening a collaborative of health care researchers. </w:t>
            </w:r>
          </w:p>
          <w:p w:rsidR="00E91865" w:rsidRDefault="00E91865" w:rsidP="00E91865">
            <w:pPr>
              <w:pStyle w:val="ListParagraph"/>
              <w:numPr>
                <w:ilvl w:val="0"/>
                <w:numId w:val="29"/>
              </w:numPr>
            </w:pPr>
            <w:r>
              <w:t xml:space="preserve">The collaborative should focus on research areas of most concern and most value to the region. </w:t>
            </w:r>
          </w:p>
          <w:p w:rsidR="00E91865" w:rsidRDefault="00E91865" w:rsidP="00E91865">
            <w:pPr>
              <w:pStyle w:val="ListParagraph"/>
              <w:numPr>
                <w:ilvl w:val="0"/>
                <w:numId w:val="29"/>
              </w:numPr>
            </w:pPr>
            <w:r>
              <w:t>Examples of areas for further exploration might include how accountable care achieves it</w:t>
            </w:r>
            <w:r w:rsidR="00793AF9">
              <w:t>s reported savings, as well as further exploration of models that will improve behavioral health care delivery.</w:t>
            </w:r>
          </w:p>
          <w:p w:rsidR="00C35836" w:rsidRPr="00124585" w:rsidRDefault="00C35836" w:rsidP="00603DD6">
            <w:pPr>
              <w:pStyle w:val="ListParagraph"/>
              <w:numPr>
                <w:ilvl w:val="0"/>
                <w:numId w:val="29"/>
              </w:numPr>
            </w:pPr>
            <w:r>
              <w:t xml:space="preserve">Potential New England </w:t>
            </w:r>
            <w:r w:rsidR="00421749">
              <w:t>collaboration t</w:t>
            </w:r>
            <w:r w:rsidR="002210BE">
              <w:t>hrough New England Consortium and NASHP could be considered as a good starting place.</w:t>
            </w:r>
          </w:p>
        </w:tc>
        <w:tc>
          <w:tcPr>
            <w:tcW w:w="4604" w:type="dxa"/>
          </w:tcPr>
          <w:p w:rsidR="008E3D83" w:rsidRPr="001D1950" w:rsidRDefault="0016382B" w:rsidP="0016382B">
            <w:pPr>
              <w:pStyle w:val="ListParagraph"/>
              <w:numPr>
                <w:ilvl w:val="0"/>
                <w:numId w:val="29"/>
              </w:numPr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OCQI will work with SIM governance to develop next steps including consultation with key partners, conveyance of small workgroup. </w:t>
            </w:r>
          </w:p>
        </w:tc>
      </w:tr>
      <w:tr w:rsidR="00922930" w:rsidRPr="00382C14" w:rsidTr="00FB5488">
        <w:tc>
          <w:tcPr>
            <w:tcW w:w="2178" w:type="dxa"/>
            <w:vAlign w:val="center"/>
          </w:tcPr>
          <w:p w:rsidR="00922930" w:rsidRPr="008301E0" w:rsidRDefault="00922930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Risk Identification &amp; Discussion</w:t>
            </w:r>
          </w:p>
        </w:tc>
        <w:tc>
          <w:tcPr>
            <w:tcW w:w="1350" w:type="dxa"/>
          </w:tcPr>
          <w:p w:rsidR="00922930" w:rsidRDefault="00922930" w:rsidP="00FB5488">
            <w:pPr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5130" w:type="dxa"/>
          </w:tcPr>
          <w:p w:rsidR="00922930" w:rsidRDefault="002210BE" w:rsidP="002210BE">
            <w:pPr>
              <w:pStyle w:val="ListParagraph"/>
              <w:numPr>
                <w:ilvl w:val="0"/>
                <w:numId w:val="38"/>
              </w:numPr>
            </w:pPr>
            <w:r>
              <w:t>Access to Medicare data continues to be an issue.</w:t>
            </w:r>
          </w:p>
          <w:p w:rsidR="002210BE" w:rsidRDefault="002210BE" w:rsidP="002210BE">
            <w:pPr>
              <w:pStyle w:val="ListParagraph"/>
              <w:numPr>
                <w:ilvl w:val="0"/>
                <w:numId w:val="38"/>
              </w:numPr>
            </w:pPr>
            <w:r>
              <w:t>Lack of access to clinical data may also impede evaluation.</w:t>
            </w:r>
          </w:p>
          <w:p w:rsidR="002210BE" w:rsidRPr="004D349B" w:rsidRDefault="002210BE" w:rsidP="00932AA0"/>
        </w:tc>
        <w:tc>
          <w:tcPr>
            <w:tcW w:w="4604" w:type="dxa"/>
          </w:tcPr>
          <w:p w:rsidR="00922930" w:rsidRPr="005B19DF" w:rsidRDefault="002210BE" w:rsidP="002210BE">
            <w:pPr>
              <w:pStyle w:val="ListParagraph"/>
              <w:numPr>
                <w:ilvl w:val="0"/>
                <w:numId w:val="38"/>
              </w:numPr>
            </w:pPr>
            <w:r>
              <w:t>Kathy Woods and Amy Wagner will follow up on next steps to address these issues.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8301E0" w:rsidRDefault="00644791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8301E0">
              <w:rPr>
                <w:b/>
              </w:rPr>
              <w:t>Next Steps</w:t>
            </w:r>
          </w:p>
        </w:tc>
        <w:tc>
          <w:tcPr>
            <w:tcW w:w="1350" w:type="dxa"/>
          </w:tcPr>
          <w:p w:rsidR="00644791" w:rsidRDefault="00644791" w:rsidP="00FB5488">
            <w:pPr>
              <w:rPr>
                <w:b/>
              </w:rPr>
            </w:pPr>
            <w:r>
              <w:rPr>
                <w:b/>
              </w:rPr>
              <w:t>Wagner</w:t>
            </w:r>
          </w:p>
          <w:p w:rsidR="008301E0" w:rsidRPr="00382C14" w:rsidRDefault="008301E0" w:rsidP="00FB5488">
            <w:pPr>
              <w:rPr>
                <w:b/>
              </w:rPr>
            </w:pPr>
            <w:r>
              <w:rPr>
                <w:b/>
              </w:rPr>
              <w:t>Woods</w:t>
            </w:r>
          </w:p>
        </w:tc>
        <w:tc>
          <w:tcPr>
            <w:tcW w:w="5130" w:type="dxa"/>
          </w:tcPr>
          <w:p w:rsidR="002210BE" w:rsidRPr="002210BE" w:rsidRDefault="002210BE" w:rsidP="002210BE">
            <w:pPr>
              <w:pStyle w:val="ListParagraph"/>
              <w:numPr>
                <w:ilvl w:val="0"/>
                <w:numId w:val="39"/>
              </w:numPr>
            </w:pPr>
            <w:r w:rsidRPr="002210BE">
              <w:t>Next Meeting</w:t>
            </w:r>
          </w:p>
          <w:p w:rsidR="002210BE" w:rsidRPr="002210BE" w:rsidRDefault="002210BE" w:rsidP="002210BE">
            <w:pPr>
              <w:ind w:left="720"/>
            </w:pPr>
            <w:r w:rsidRPr="002210BE">
              <w:t xml:space="preserve">May 27th, 2015, 3-5 pm </w:t>
            </w:r>
          </w:p>
          <w:p w:rsidR="002210BE" w:rsidRPr="002210BE" w:rsidRDefault="002210BE" w:rsidP="002210BE">
            <w:pPr>
              <w:ind w:left="720"/>
            </w:pPr>
            <w:r w:rsidRPr="002210BE">
              <w:t>Conference room A</w:t>
            </w:r>
          </w:p>
          <w:p w:rsidR="002210BE" w:rsidRPr="002210BE" w:rsidRDefault="002210BE" w:rsidP="002210BE">
            <w:pPr>
              <w:ind w:left="720"/>
            </w:pPr>
            <w:r w:rsidRPr="002210BE">
              <w:t xml:space="preserve">35 Anthony Avenue, Augusta </w:t>
            </w:r>
          </w:p>
          <w:p w:rsidR="002210BE" w:rsidRPr="002210BE" w:rsidRDefault="002210BE" w:rsidP="002210BE"/>
          <w:p w:rsidR="002210BE" w:rsidRPr="002210BE" w:rsidRDefault="002210BE" w:rsidP="002210BE">
            <w:pPr>
              <w:pStyle w:val="ListParagraph"/>
              <w:numPr>
                <w:ilvl w:val="0"/>
                <w:numId w:val="40"/>
              </w:numPr>
            </w:pPr>
            <w:r w:rsidRPr="002210BE">
              <w:t xml:space="preserve">Future Discussion Topics </w:t>
            </w:r>
          </w:p>
          <w:p w:rsidR="002210BE" w:rsidRPr="002210BE" w:rsidRDefault="002210BE" w:rsidP="002210BE">
            <w:pPr>
              <w:pStyle w:val="ListParagraph"/>
              <w:numPr>
                <w:ilvl w:val="0"/>
                <w:numId w:val="41"/>
              </w:numPr>
            </w:pPr>
            <w:r w:rsidRPr="002210BE">
              <w:t>Status Update of the Self-Evaluation Provider, Stakeholder, &amp; Consumer interview process &amp;  early findings when available</w:t>
            </w:r>
          </w:p>
          <w:p w:rsidR="002210BE" w:rsidRDefault="002210BE" w:rsidP="002210BE">
            <w:pPr>
              <w:pStyle w:val="ListParagraph"/>
              <w:numPr>
                <w:ilvl w:val="0"/>
                <w:numId w:val="41"/>
              </w:numPr>
            </w:pPr>
            <w:r w:rsidRPr="002210BE">
              <w:t xml:space="preserve">Presentation of </w:t>
            </w:r>
            <w:r w:rsidR="00190FD6">
              <w:t xml:space="preserve">Dashboard and preliminary </w:t>
            </w:r>
            <w:r w:rsidR="00603DD6">
              <w:t xml:space="preserve">Medicaid </w:t>
            </w:r>
            <w:r w:rsidR="00190FD6">
              <w:t>data analysis</w:t>
            </w:r>
          </w:p>
          <w:p w:rsidR="0016382B" w:rsidRPr="002210BE" w:rsidRDefault="0016382B" w:rsidP="0016382B">
            <w:pPr>
              <w:pStyle w:val="ListParagraph"/>
              <w:numPr>
                <w:ilvl w:val="0"/>
                <w:numId w:val="41"/>
              </w:numPr>
            </w:pPr>
            <w:r w:rsidRPr="002210BE">
              <w:t>Sustainable Research Collaborative</w:t>
            </w:r>
          </w:p>
          <w:p w:rsidR="00524079" w:rsidRPr="004D349B" w:rsidRDefault="002210BE" w:rsidP="002210BE">
            <w:pPr>
              <w:pStyle w:val="ListParagraph"/>
              <w:numPr>
                <w:ilvl w:val="0"/>
                <w:numId w:val="41"/>
              </w:numPr>
            </w:pPr>
            <w:r w:rsidRPr="002210BE">
              <w:t>Follow up on today’s identified risks as necessary</w:t>
            </w:r>
          </w:p>
        </w:tc>
        <w:tc>
          <w:tcPr>
            <w:tcW w:w="4604" w:type="dxa"/>
          </w:tcPr>
          <w:p w:rsidR="002210BE" w:rsidRPr="005B19DF" w:rsidRDefault="002210BE" w:rsidP="001206D1">
            <w:pPr>
              <w:pStyle w:val="ListParagraph"/>
              <w:ind w:left="360"/>
            </w:pPr>
            <w:r>
              <w:t xml:space="preserve"> 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8301E0" w:rsidRDefault="00644791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8301E0">
              <w:rPr>
                <w:b/>
              </w:rPr>
              <w:t xml:space="preserve">Time for Public </w:t>
            </w:r>
            <w:r w:rsidRPr="008301E0">
              <w:rPr>
                <w:b/>
              </w:rPr>
              <w:lastRenderedPageBreak/>
              <w:t>Comment</w:t>
            </w:r>
          </w:p>
        </w:tc>
        <w:tc>
          <w:tcPr>
            <w:tcW w:w="1350" w:type="dxa"/>
          </w:tcPr>
          <w:p w:rsidR="00644791" w:rsidRDefault="00644791" w:rsidP="00FB5488">
            <w:pPr>
              <w:rPr>
                <w:b/>
              </w:rPr>
            </w:pPr>
          </w:p>
        </w:tc>
        <w:tc>
          <w:tcPr>
            <w:tcW w:w="5130" w:type="dxa"/>
          </w:tcPr>
          <w:p w:rsidR="00644791" w:rsidRDefault="00644791" w:rsidP="00FB5488"/>
        </w:tc>
        <w:tc>
          <w:tcPr>
            <w:tcW w:w="4604" w:type="dxa"/>
          </w:tcPr>
          <w:p w:rsidR="00644791" w:rsidRPr="005B19DF" w:rsidRDefault="00644791" w:rsidP="00FB5488"/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8301E0" w:rsidRDefault="00644791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8301E0">
              <w:rPr>
                <w:b/>
              </w:rPr>
              <w:lastRenderedPageBreak/>
              <w:t>Adjourn</w:t>
            </w:r>
          </w:p>
        </w:tc>
        <w:tc>
          <w:tcPr>
            <w:tcW w:w="1350" w:type="dxa"/>
          </w:tcPr>
          <w:p w:rsidR="00644791" w:rsidRDefault="00644791" w:rsidP="00FB5488">
            <w:pPr>
              <w:rPr>
                <w:b/>
              </w:rPr>
            </w:pPr>
          </w:p>
        </w:tc>
        <w:tc>
          <w:tcPr>
            <w:tcW w:w="5130" w:type="dxa"/>
          </w:tcPr>
          <w:p w:rsidR="00644791" w:rsidRDefault="00644791" w:rsidP="00FB5488"/>
        </w:tc>
        <w:tc>
          <w:tcPr>
            <w:tcW w:w="4604" w:type="dxa"/>
          </w:tcPr>
          <w:p w:rsidR="00644791" w:rsidRPr="005B19DF" w:rsidRDefault="00644791" w:rsidP="00FB5488"/>
        </w:tc>
      </w:tr>
    </w:tbl>
    <w:p w:rsidR="002E77E0" w:rsidRPr="00382C14" w:rsidRDefault="002E77E0" w:rsidP="00205ACD">
      <w:pPr>
        <w:spacing w:after="0" w:line="240" w:lineRule="auto"/>
        <w:rPr>
          <w:rFonts w:eastAsia="Times New Roman" w:cs="Times New Roman"/>
          <w:b/>
        </w:rPr>
      </w:pPr>
    </w:p>
    <w:p w:rsidR="002E77E0" w:rsidRDefault="00752238" w:rsidP="00DA7890">
      <w:pPr>
        <w:spacing w:after="0" w:line="240" w:lineRule="auto"/>
        <w:rPr>
          <w:rFonts w:eastAsia="Times New Roman" w:cs="Times New Roman"/>
          <w:b/>
        </w:rPr>
      </w:pPr>
      <w:r w:rsidRPr="00382C14">
        <w:rPr>
          <w:rFonts w:eastAsia="Times New Roman" w:cs="Times New Roman"/>
          <w:b/>
        </w:rPr>
        <w:t>Next Meet</w:t>
      </w:r>
      <w:r w:rsidR="00CE623A" w:rsidRPr="00382C14">
        <w:rPr>
          <w:rFonts w:eastAsia="Times New Roman" w:cs="Times New Roman"/>
          <w:b/>
        </w:rPr>
        <w:t xml:space="preserve">ing: </w:t>
      </w:r>
      <w:r w:rsidR="00317EB4">
        <w:rPr>
          <w:rFonts w:eastAsia="Times New Roman" w:cs="Times New Roman"/>
          <w:b/>
        </w:rPr>
        <w:t xml:space="preserve"> </w:t>
      </w:r>
      <w:r w:rsidR="00FF1757">
        <w:rPr>
          <w:rFonts w:eastAsia="Times New Roman" w:cs="Times New Roman"/>
          <w:b/>
        </w:rPr>
        <w:t>Wednesday, May 27</w:t>
      </w:r>
      <w:r w:rsidR="005E6D1A">
        <w:rPr>
          <w:rFonts w:eastAsia="Times New Roman" w:cs="Times New Roman"/>
          <w:b/>
        </w:rPr>
        <w:t>, 2015</w:t>
      </w:r>
    </w:p>
    <w:p w:rsidR="005E6D1A" w:rsidRDefault="00F800EE" w:rsidP="00DA7890">
      <w:pPr>
        <w:autoSpaceDE w:val="0"/>
        <w:autoSpaceDN w:val="0"/>
        <w:adjustRightInd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Conference Room A, </w:t>
      </w:r>
      <w:r w:rsidR="005E6D1A" w:rsidRPr="005E6D1A">
        <w:rPr>
          <w:rFonts w:eastAsia="Times New Roman" w:cs="Times New Roman"/>
          <w:b/>
        </w:rPr>
        <w:t>35 Anthony Avenue, Augusta, Maine</w:t>
      </w:r>
      <w:r w:rsidR="00DA7890">
        <w:rPr>
          <w:rFonts w:eastAsia="Times New Roman" w:cs="Times New Roman"/>
          <w:b/>
        </w:rPr>
        <w:t xml:space="preserve">     Please NOTE- this is a FRAGRANCE FREE building</w:t>
      </w:r>
      <w:r>
        <w:rPr>
          <w:rFonts w:eastAsia="Times New Roman" w:cs="Times New Roman"/>
          <w:b/>
        </w:rPr>
        <w:t xml:space="preserve">  </w:t>
      </w:r>
    </w:p>
    <w:p w:rsidR="005E6D1A" w:rsidRPr="005E6D1A" w:rsidRDefault="005E6D1A" w:rsidP="005E6D1A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168"/>
        <w:gridCol w:w="4250"/>
        <w:gridCol w:w="3465"/>
        <w:gridCol w:w="2073"/>
        <w:gridCol w:w="2306"/>
      </w:tblGrid>
      <w:tr w:rsidR="00DC2ABE" w:rsidRPr="00382C14" w:rsidTr="001521D1">
        <w:tc>
          <w:tcPr>
            <w:tcW w:w="1326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ABE" w:rsidRPr="00382C14" w:rsidRDefault="00E83854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Workgroup</w:t>
            </w:r>
            <w:r w:rsidR="00DC2ABE" w:rsidRPr="00382C14">
              <w:rPr>
                <w:rFonts w:asciiTheme="minorHAnsi" w:hAnsiTheme="minorHAnsi"/>
                <w:b/>
                <w:sz w:val="22"/>
                <w:szCs w:val="22"/>
              </w:rPr>
              <w:t xml:space="preserve"> Risks Tracking</w:t>
            </w:r>
          </w:p>
        </w:tc>
      </w:tr>
      <w:tr w:rsidR="00DC2ABE" w:rsidRPr="00382C14" w:rsidTr="00C10E3D">
        <w:tc>
          <w:tcPr>
            <w:tcW w:w="1168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250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Risk Definition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Mitigation Options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Pros/Cons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DC2ABE" w:rsidRPr="00FF1757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1757">
              <w:rPr>
                <w:rFonts w:asciiTheme="minorHAnsi" w:hAnsiTheme="minorHAnsi"/>
                <w:b/>
                <w:sz w:val="22"/>
                <w:szCs w:val="22"/>
              </w:rPr>
              <w:t>Assigned To</w:t>
            </w:r>
          </w:p>
        </w:tc>
      </w:tr>
      <w:tr w:rsidR="00227D1E" w:rsidRPr="00382C14" w:rsidTr="00C10E3D">
        <w:tc>
          <w:tcPr>
            <w:tcW w:w="1168" w:type="dxa"/>
          </w:tcPr>
          <w:p w:rsidR="00227D1E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4/22/2015</w:t>
            </w:r>
          </w:p>
        </w:tc>
        <w:tc>
          <w:tcPr>
            <w:tcW w:w="4250" w:type="dxa"/>
          </w:tcPr>
          <w:p w:rsidR="00227D1E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Delays in access to Medicare data</w:t>
            </w:r>
          </w:p>
        </w:tc>
        <w:tc>
          <w:tcPr>
            <w:tcW w:w="3465" w:type="dxa"/>
          </w:tcPr>
          <w:p w:rsidR="00227D1E" w:rsidRPr="00FF1757" w:rsidRDefault="00227D1E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:rsidR="00227D1E" w:rsidRPr="00FF1757" w:rsidRDefault="00227D1E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27D1E" w:rsidRPr="00FF1757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1757">
              <w:rPr>
                <w:rFonts w:asciiTheme="minorHAnsi" w:hAnsiTheme="minorHAnsi"/>
                <w:b/>
                <w:sz w:val="22"/>
                <w:szCs w:val="22"/>
              </w:rPr>
              <w:t>Kathy Woods, Amy Wagner</w:t>
            </w:r>
          </w:p>
        </w:tc>
      </w:tr>
      <w:tr w:rsidR="00FF1757" w:rsidRPr="00382C14" w:rsidTr="00C10E3D">
        <w:tc>
          <w:tcPr>
            <w:tcW w:w="1168" w:type="dxa"/>
          </w:tcPr>
          <w:p w:rsidR="00FF1757" w:rsidRPr="00FF1757" w:rsidRDefault="00FF1757" w:rsidP="00625E27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4/22/2015</w:t>
            </w:r>
          </w:p>
        </w:tc>
        <w:tc>
          <w:tcPr>
            <w:tcW w:w="4250" w:type="dxa"/>
          </w:tcPr>
          <w:p w:rsidR="00FF1757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Lack of access to clinical data for evaluation analysis purposes</w:t>
            </w:r>
          </w:p>
        </w:tc>
        <w:tc>
          <w:tcPr>
            <w:tcW w:w="3465" w:type="dxa"/>
          </w:tcPr>
          <w:p w:rsidR="00FF1757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:rsidR="00FF1757" w:rsidRPr="00FF1757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FF1757" w:rsidRPr="00FF1757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1757">
              <w:rPr>
                <w:rFonts w:asciiTheme="minorHAnsi" w:hAnsiTheme="minorHAnsi"/>
                <w:b/>
                <w:sz w:val="22"/>
                <w:szCs w:val="22"/>
              </w:rPr>
              <w:t>Kathy Woods, Amy Wagner</w:t>
            </w:r>
          </w:p>
        </w:tc>
      </w:tr>
      <w:tr w:rsidR="00FF1757" w:rsidRPr="00382C14" w:rsidTr="00C10E3D">
        <w:tc>
          <w:tcPr>
            <w:tcW w:w="1168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:rsidR="00FF1757" w:rsidRPr="008A58FD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FF1757" w:rsidRPr="008A58FD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2ABE" w:rsidRPr="00382C14" w:rsidRDefault="00DC2ABE" w:rsidP="00CA513B">
      <w:pPr>
        <w:rPr>
          <w:rStyle w:val="Strong"/>
          <w:color w:val="1F497D" w:themeColor="text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6"/>
        <w:gridCol w:w="3285"/>
        <w:gridCol w:w="4048"/>
        <w:gridCol w:w="3773"/>
      </w:tblGrid>
      <w:tr w:rsidR="006C04F9" w:rsidRPr="00382C14" w:rsidTr="00636E2A">
        <w:tc>
          <w:tcPr>
            <w:tcW w:w="13262" w:type="dxa"/>
            <w:gridSpan w:val="4"/>
            <w:shd w:val="clear" w:color="auto" w:fill="D9D9D9" w:themeFill="background1" w:themeFillShade="D9"/>
          </w:tcPr>
          <w:p w:rsidR="006C04F9" w:rsidRPr="00382C14" w:rsidRDefault="006C04F9" w:rsidP="00A93934">
            <w:pPr>
              <w:jc w:val="center"/>
              <w:rPr>
                <w:b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3285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  <w:tc>
          <w:tcPr>
            <w:tcW w:w="4048" w:type="dxa"/>
          </w:tcPr>
          <w:p w:rsidR="003F780E" w:rsidRPr="006C04F9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Delivery System Reform</w:t>
            </w:r>
          </w:p>
        </w:tc>
        <w:tc>
          <w:tcPr>
            <w:tcW w:w="3773" w:type="dxa"/>
          </w:tcPr>
          <w:p w:rsidR="003F780E" w:rsidRPr="006C04F9" w:rsidRDefault="00E83854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</w:tr>
      <w:tr w:rsidR="003F780E" w:rsidRPr="00382C14" w:rsidTr="003F780E">
        <w:trPr>
          <w:trHeight w:val="458"/>
        </w:trPr>
        <w:tc>
          <w:tcPr>
            <w:tcW w:w="2156" w:type="dxa"/>
          </w:tcPr>
          <w:p w:rsidR="003F780E" w:rsidRDefault="003F780E" w:rsidP="00E1035C"/>
        </w:tc>
        <w:tc>
          <w:tcPr>
            <w:tcW w:w="3285" w:type="dxa"/>
          </w:tcPr>
          <w:p w:rsidR="003F780E" w:rsidRDefault="003F780E" w:rsidP="00A93934"/>
        </w:tc>
        <w:tc>
          <w:tcPr>
            <w:tcW w:w="4048" w:type="dxa"/>
          </w:tcPr>
          <w:p w:rsidR="003F780E" w:rsidRDefault="003F780E" w:rsidP="00A93934"/>
        </w:tc>
        <w:tc>
          <w:tcPr>
            <w:tcW w:w="3773" w:type="dxa"/>
          </w:tcPr>
          <w:p w:rsidR="003F780E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8D12EE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7A711B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7A711B" w:rsidRDefault="003F780E" w:rsidP="00A93934"/>
        </w:tc>
        <w:tc>
          <w:tcPr>
            <w:tcW w:w="3773" w:type="dxa"/>
          </w:tcPr>
          <w:p w:rsidR="003F780E" w:rsidRPr="007A711B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/>
        </w:tc>
        <w:tc>
          <w:tcPr>
            <w:tcW w:w="3285" w:type="dxa"/>
          </w:tcPr>
          <w:p w:rsidR="003F780E" w:rsidRPr="00382C14" w:rsidRDefault="003F780E" w:rsidP="00A93934"/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</w:tbl>
    <w:p w:rsidR="00382C14" w:rsidRPr="00382C14" w:rsidRDefault="00382C14" w:rsidP="00CA513B">
      <w:pPr>
        <w:rPr>
          <w:rStyle w:val="Strong"/>
          <w:color w:val="1F497D" w:themeColor="text2"/>
        </w:rPr>
      </w:pPr>
    </w:p>
    <w:sectPr w:rsidR="00382C14" w:rsidRPr="00382C14" w:rsidSect="001F1605">
      <w:footerReference w:type="default" r:id="rId13"/>
      <w:pgSz w:w="15840" w:h="12240" w:orient="landscape"/>
      <w:pgMar w:top="10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AB" w:rsidRDefault="004145AB" w:rsidP="009528AC">
      <w:pPr>
        <w:spacing w:after="0" w:line="240" w:lineRule="auto"/>
      </w:pPr>
      <w:r>
        <w:separator/>
      </w:r>
    </w:p>
  </w:endnote>
  <w:endnote w:type="continuationSeparator" w:id="0">
    <w:p w:rsidR="004145AB" w:rsidRDefault="004145AB" w:rsidP="009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87229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Maine SIM Evaluation Sub-Committee meeting minutes</w:t>
        </w:r>
      </w:p>
      <w:p w:rsidR="005E6D1A" w:rsidRPr="005E6D1A" w:rsidRDefault="00932AA0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April</w:t>
        </w:r>
        <w:r w:rsidRPr="005E6D1A">
          <w:rPr>
            <w:sz w:val="18"/>
            <w:szCs w:val="18"/>
          </w:rPr>
          <w:t xml:space="preserve"> </w:t>
        </w:r>
        <w:r w:rsidR="00597C7A">
          <w:rPr>
            <w:sz w:val="18"/>
            <w:szCs w:val="18"/>
          </w:rPr>
          <w:t>2</w:t>
        </w:r>
        <w:r>
          <w:rPr>
            <w:sz w:val="18"/>
            <w:szCs w:val="18"/>
          </w:rPr>
          <w:t>2</w:t>
        </w:r>
        <w:r w:rsidR="005E6D1A" w:rsidRPr="005E6D1A">
          <w:rPr>
            <w:sz w:val="18"/>
            <w:szCs w:val="18"/>
          </w:rPr>
          <w:t>, 201</w:t>
        </w:r>
        <w:r w:rsidR="00BF09F3">
          <w:rPr>
            <w:sz w:val="18"/>
            <w:szCs w:val="18"/>
          </w:rPr>
          <w:t>5</w:t>
        </w:r>
      </w:p>
      <w:p w:rsidR="0040415D" w:rsidRDefault="0040415D">
        <w:pPr>
          <w:pStyle w:val="Footer"/>
          <w:jc w:val="right"/>
        </w:pPr>
        <w:r w:rsidRPr="005E6D1A">
          <w:rPr>
            <w:sz w:val="18"/>
            <w:szCs w:val="18"/>
          </w:rPr>
          <w:fldChar w:fldCharType="begin"/>
        </w:r>
        <w:r w:rsidRPr="005E6D1A">
          <w:rPr>
            <w:sz w:val="18"/>
            <w:szCs w:val="18"/>
          </w:rPr>
          <w:instrText xml:space="preserve"> PAGE   \* MERGEFORMAT </w:instrText>
        </w:r>
        <w:r w:rsidRPr="005E6D1A">
          <w:rPr>
            <w:sz w:val="18"/>
            <w:szCs w:val="18"/>
          </w:rPr>
          <w:fldChar w:fldCharType="separate"/>
        </w:r>
        <w:r w:rsidR="00263803">
          <w:rPr>
            <w:noProof/>
            <w:sz w:val="18"/>
            <w:szCs w:val="18"/>
          </w:rPr>
          <w:t>6</w:t>
        </w:r>
        <w:r w:rsidRPr="005E6D1A">
          <w:rPr>
            <w:noProof/>
            <w:sz w:val="18"/>
            <w:szCs w:val="18"/>
          </w:rPr>
          <w:fldChar w:fldCharType="end"/>
        </w:r>
      </w:p>
    </w:sdtContent>
  </w:sdt>
  <w:p w:rsidR="0040415D" w:rsidRDefault="00404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AB" w:rsidRDefault="004145AB" w:rsidP="009528AC">
      <w:pPr>
        <w:spacing w:after="0" w:line="240" w:lineRule="auto"/>
      </w:pPr>
      <w:r>
        <w:separator/>
      </w:r>
    </w:p>
  </w:footnote>
  <w:footnote w:type="continuationSeparator" w:id="0">
    <w:p w:rsidR="004145AB" w:rsidRDefault="004145AB" w:rsidP="0095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F6A"/>
    <w:multiLevelType w:val="hybridMultilevel"/>
    <w:tmpl w:val="937A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CCF"/>
    <w:multiLevelType w:val="hybridMultilevel"/>
    <w:tmpl w:val="8344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5DA3"/>
    <w:multiLevelType w:val="hybridMultilevel"/>
    <w:tmpl w:val="0E288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06147"/>
    <w:multiLevelType w:val="hybridMultilevel"/>
    <w:tmpl w:val="4254E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82F15"/>
    <w:multiLevelType w:val="hybridMultilevel"/>
    <w:tmpl w:val="225EF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9240F8"/>
    <w:multiLevelType w:val="hybridMultilevel"/>
    <w:tmpl w:val="7F1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5DD4"/>
    <w:multiLevelType w:val="hybridMultilevel"/>
    <w:tmpl w:val="9AB2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12445"/>
    <w:multiLevelType w:val="hybridMultilevel"/>
    <w:tmpl w:val="0E38B7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733E8"/>
    <w:multiLevelType w:val="hybridMultilevel"/>
    <w:tmpl w:val="F36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942D8"/>
    <w:multiLevelType w:val="hybridMultilevel"/>
    <w:tmpl w:val="E94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56BAD"/>
    <w:multiLevelType w:val="hybridMultilevel"/>
    <w:tmpl w:val="4C40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940C5"/>
    <w:multiLevelType w:val="hybridMultilevel"/>
    <w:tmpl w:val="2CC02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C5AE5"/>
    <w:multiLevelType w:val="hybridMultilevel"/>
    <w:tmpl w:val="E78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4C84"/>
    <w:multiLevelType w:val="hybridMultilevel"/>
    <w:tmpl w:val="64CE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645029"/>
    <w:multiLevelType w:val="hybridMultilevel"/>
    <w:tmpl w:val="28828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6D0EDC"/>
    <w:multiLevelType w:val="hybridMultilevel"/>
    <w:tmpl w:val="5F98C700"/>
    <w:lvl w:ilvl="0" w:tplc="F106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AEDC">
      <w:start w:val="2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8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8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2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626C3D"/>
    <w:multiLevelType w:val="hybridMultilevel"/>
    <w:tmpl w:val="5BC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23CD2"/>
    <w:multiLevelType w:val="hybridMultilevel"/>
    <w:tmpl w:val="953A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84E3D"/>
    <w:multiLevelType w:val="hybridMultilevel"/>
    <w:tmpl w:val="39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B3D38"/>
    <w:multiLevelType w:val="hybridMultilevel"/>
    <w:tmpl w:val="9850A6F8"/>
    <w:lvl w:ilvl="0" w:tplc="06D45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1EBE">
      <w:start w:val="35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C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7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A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A4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0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D78"/>
    <w:multiLevelType w:val="hybridMultilevel"/>
    <w:tmpl w:val="3BA21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4D2DCF"/>
    <w:multiLevelType w:val="hybridMultilevel"/>
    <w:tmpl w:val="39D89242"/>
    <w:lvl w:ilvl="0" w:tplc="9C04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C8A54">
      <w:start w:val="5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27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4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81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C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5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48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5F189A"/>
    <w:multiLevelType w:val="hybridMultilevel"/>
    <w:tmpl w:val="6A3AC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10B5A"/>
    <w:multiLevelType w:val="hybridMultilevel"/>
    <w:tmpl w:val="47C25252"/>
    <w:lvl w:ilvl="0" w:tplc="A280B3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73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EF6E">
      <w:start w:val="51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8F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24C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A9B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401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8A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601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C541F1"/>
    <w:multiLevelType w:val="hybridMultilevel"/>
    <w:tmpl w:val="0AD035CC"/>
    <w:lvl w:ilvl="0" w:tplc="91FE4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E2C69"/>
    <w:multiLevelType w:val="hybridMultilevel"/>
    <w:tmpl w:val="7A50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2BC3"/>
    <w:multiLevelType w:val="hybridMultilevel"/>
    <w:tmpl w:val="018A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363D88"/>
    <w:multiLevelType w:val="hybridMultilevel"/>
    <w:tmpl w:val="A8EE2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8E4738"/>
    <w:multiLevelType w:val="hybridMultilevel"/>
    <w:tmpl w:val="F6745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562955"/>
    <w:multiLevelType w:val="hybridMultilevel"/>
    <w:tmpl w:val="D2909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94A4C"/>
    <w:multiLevelType w:val="hybridMultilevel"/>
    <w:tmpl w:val="9D008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E64D14"/>
    <w:multiLevelType w:val="hybridMultilevel"/>
    <w:tmpl w:val="D8B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96154"/>
    <w:multiLevelType w:val="hybridMultilevel"/>
    <w:tmpl w:val="89FAC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0CD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8D6425"/>
    <w:multiLevelType w:val="hybridMultilevel"/>
    <w:tmpl w:val="456C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863865"/>
    <w:multiLevelType w:val="hybridMultilevel"/>
    <w:tmpl w:val="81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07C4D"/>
    <w:multiLevelType w:val="hybridMultilevel"/>
    <w:tmpl w:val="01902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C7C713D"/>
    <w:multiLevelType w:val="hybridMultilevel"/>
    <w:tmpl w:val="C8C2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B33FD"/>
    <w:multiLevelType w:val="hybridMultilevel"/>
    <w:tmpl w:val="6D409B6C"/>
    <w:lvl w:ilvl="0" w:tplc="1BC23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290A8">
      <w:start w:val="5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B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2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A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82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E2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24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E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FAB085A"/>
    <w:multiLevelType w:val="hybridMultilevel"/>
    <w:tmpl w:val="3EE2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3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34"/>
  </w:num>
  <w:num w:numId="9">
    <w:abstractNumId w:val="26"/>
  </w:num>
  <w:num w:numId="10">
    <w:abstractNumId w:val="15"/>
  </w:num>
  <w:num w:numId="11">
    <w:abstractNumId w:val="31"/>
  </w:num>
  <w:num w:numId="12">
    <w:abstractNumId w:val="1"/>
  </w:num>
  <w:num w:numId="13">
    <w:abstractNumId w:val="16"/>
  </w:num>
  <w:num w:numId="14">
    <w:abstractNumId w:val="25"/>
  </w:num>
  <w:num w:numId="15">
    <w:abstractNumId w:val="36"/>
  </w:num>
  <w:num w:numId="16">
    <w:abstractNumId w:val="18"/>
  </w:num>
  <w:num w:numId="17">
    <w:abstractNumId w:val="8"/>
  </w:num>
  <w:num w:numId="18">
    <w:abstractNumId w:val="17"/>
  </w:num>
  <w:num w:numId="19">
    <w:abstractNumId w:val="10"/>
  </w:num>
  <w:num w:numId="20">
    <w:abstractNumId w:val="37"/>
  </w:num>
  <w:num w:numId="21">
    <w:abstractNumId w:val="14"/>
  </w:num>
  <w:num w:numId="22">
    <w:abstractNumId w:val="3"/>
  </w:num>
  <w:num w:numId="23">
    <w:abstractNumId w:val="13"/>
  </w:num>
  <w:num w:numId="24">
    <w:abstractNumId w:val="29"/>
  </w:num>
  <w:num w:numId="25">
    <w:abstractNumId w:val="11"/>
  </w:num>
  <w:num w:numId="26">
    <w:abstractNumId w:val="27"/>
  </w:num>
  <w:num w:numId="27">
    <w:abstractNumId w:val="6"/>
  </w:num>
  <w:num w:numId="28">
    <w:abstractNumId w:val="41"/>
  </w:num>
  <w:num w:numId="29">
    <w:abstractNumId w:val="32"/>
  </w:num>
  <w:num w:numId="30">
    <w:abstractNumId w:val="28"/>
  </w:num>
  <w:num w:numId="31">
    <w:abstractNumId w:val="19"/>
  </w:num>
  <w:num w:numId="32">
    <w:abstractNumId w:val="38"/>
  </w:num>
  <w:num w:numId="33">
    <w:abstractNumId w:val="20"/>
  </w:num>
  <w:num w:numId="34">
    <w:abstractNumId w:val="2"/>
  </w:num>
  <w:num w:numId="35">
    <w:abstractNumId w:val="40"/>
  </w:num>
  <w:num w:numId="36">
    <w:abstractNumId w:val="22"/>
  </w:num>
  <w:num w:numId="37">
    <w:abstractNumId w:val="24"/>
  </w:num>
  <w:num w:numId="38">
    <w:abstractNumId w:val="4"/>
  </w:num>
  <w:num w:numId="39">
    <w:abstractNumId w:val="35"/>
  </w:num>
  <w:num w:numId="40">
    <w:abstractNumId w:val="30"/>
  </w:num>
  <w:num w:numId="41">
    <w:abstractNumId w:val="1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B"/>
    <w:rsid w:val="00003100"/>
    <w:rsid w:val="00006AFD"/>
    <w:rsid w:val="000176D6"/>
    <w:rsid w:val="00021782"/>
    <w:rsid w:val="00026C79"/>
    <w:rsid w:val="00033E1C"/>
    <w:rsid w:val="00046DB0"/>
    <w:rsid w:val="00047088"/>
    <w:rsid w:val="00051E6B"/>
    <w:rsid w:val="00053DB9"/>
    <w:rsid w:val="00066456"/>
    <w:rsid w:val="000714B6"/>
    <w:rsid w:val="00086D9D"/>
    <w:rsid w:val="00097E02"/>
    <w:rsid w:val="000A6C66"/>
    <w:rsid w:val="000B280D"/>
    <w:rsid w:val="000B3716"/>
    <w:rsid w:val="000B6131"/>
    <w:rsid w:val="000C35A5"/>
    <w:rsid w:val="000C5E04"/>
    <w:rsid w:val="000C6E74"/>
    <w:rsid w:val="000D5FE1"/>
    <w:rsid w:val="000D7AD4"/>
    <w:rsid w:val="000E066F"/>
    <w:rsid w:val="000F667F"/>
    <w:rsid w:val="001034BB"/>
    <w:rsid w:val="00104961"/>
    <w:rsid w:val="00105364"/>
    <w:rsid w:val="00107C92"/>
    <w:rsid w:val="00114C65"/>
    <w:rsid w:val="001173D5"/>
    <w:rsid w:val="001206D1"/>
    <w:rsid w:val="0012168B"/>
    <w:rsid w:val="0012170D"/>
    <w:rsid w:val="00124585"/>
    <w:rsid w:val="00124F1E"/>
    <w:rsid w:val="00130314"/>
    <w:rsid w:val="001309E6"/>
    <w:rsid w:val="00132219"/>
    <w:rsid w:val="00133836"/>
    <w:rsid w:val="001521D1"/>
    <w:rsid w:val="0015221F"/>
    <w:rsid w:val="0015295E"/>
    <w:rsid w:val="001565FD"/>
    <w:rsid w:val="0016382B"/>
    <w:rsid w:val="001774A5"/>
    <w:rsid w:val="001828A9"/>
    <w:rsid w:val="00184A3F"/>
    <w:rsid w:val="00190FD6"/>
    <w:rsid w:val="0019691C"/>
    <w:rsid w:val="00197039"/>
    <w:rsid w:val="0019779D"/>
    <w:rsid w:val="001A2AA7"/>
    <w:rsid w:val="001A3885"/>
    <w:rsid w:val="001B0113"/>
    <w:rsid w:val="001B1456"/>
    <w:rsid w:val="001B589D"/>
    <w:rsid w:val="001C38CD"/>
    <w:rsid w:val="001D1950"/>
    <w:rsid w:val="001D1B62"/>
    <w:rsid w:val="001D4383"/>
    <w:rsid w:val="001D4751"/>
    <w:rsid w:val="001D798E"/>
    <w:rsid w:val="001E2542"/>
    <w:rsid w:val="001E36E1"/>
    <w:rsid w:val="001F1605"/>
    <w:rsid w:val="001F41F0"/>
    <w:rsid w:val="001F7B1B"/>
    <w:rsid w:val="002045A4"/>
    <w:rsid w:val="00205ACD"/>
    <w:rsid w:val="00211F0F"/>
    <w:rsid w:val="00215823"/>
    <w:rsid w:val="00217D2B"/>
    <w:rsid w:val="00220051"/>
    <w:rsid w:val="002210BE"/>
    <w:rsid w:val="00224B04"/>
    <w:rsid w:val="00227D1E"/>
    <w:rsid w:val="0023065D"/>
    <w:rsid w:val="002309F0"/>
    <w:rsid w:val="00231153"/>
    <w:rsid w:val="00232996"/>
    <w:rsid w:val="00235B01"/>
    <w:rsid w:val="00237BB8"/>
    <w:rsid w:val="002422B9"/>
    <w:rsid w:val="0024589D"/>
    <w:rsid w:val="00251624"/>
    <w:rsid w:val="002533BE"/>
    <w:rsid w:val="00254D4F"/>
    <w:rsid w:val="00255283"/>
    <w:rsid w:val="00263803"/>
    <w:rsid w:val="00265838"/>
    <w:rsid w:val="00285B5F"/>
    <w:rsid w:val="00294AD3"/>
    <w:rsid w:val="002950B8"/>
    <w:rsid w:val="002A22B5"/>
    <w:rsid w:val="002A2A54"/>
    <w:rsid w:val="002A54A7"/>
    <w:rsid w:val="002A5768"/>
    <w:rsid w:val="002A71DC"/>
    <w:rsid w:val="002B1061"/>
    <w:rsid w:val="002B7C9C"/>
    <w:rsid w:val="002C5D29"/>
    <w:rsid w:val="002C7C85"/>
    <w:rsid w:val="002D4B00"/>
    <w:rsid w:val="002D7E92"/>
    <w:rsid w:val="002E3E81"/>
    <w:rsid w:val="002E77E0"/>
    <w:rsid w:val="002F0184"/>
    <w:rsid w:val="002F1C52"/>
    <w:rsid w:val="002F236C"/>
    <w:rsid w:val="002F2D19"/>
    <w:rsid w:val="002F5927"/>
    <w:rsid w:val="002F76A7"/>
    <w:rsid w:val="0030128E"/>
    <w:rsid w:val="0030398E"/>
    <w:rsid w:val="00307654"/>
    <w:rsid w:val="00313F23"/>
    <w:rsid w:val="00317EB4"/>
    <w:rsid w:val="00320777"/>
    <w:rsid w:val="00320DF3"/>
    <w:rsid w:val="003220C6"/>
    <w:rsid w:val="003234D8"/>
    <w:rsid w:val="00323BDD"/>
    <w:rsid w:val="0032550D"/>
    <w:rsid w:val="00354529"/>
    <w:rsid w:val="00365DB9"/>
    <w:rsid w:val="00366684"/>
    <w:rsid w:val="00372121"/>
    <w:rsid w:val="0037672E"/>
    <w:rsid w:val="00382C14"/>
    <w:rsid w:val="003847D2"/>
    <w:rsid w:val="003970E1"/>
    <w:rsid w:val="003972B8"/>
    <w:rsid w:val="003A276D"/>
    <w:rsid w:val="003B18D0"/>
    <w:rsid w:val="003B3F0A"/>
    <w:rsid w:val="003C0B6E"/>
    <w:rsid w:val="003D2F31"/>
    <w:rsid w:val="003D799D"/>
    <w:rsid w:val="003E0CE1"/>
    <w:rsid w:val="003E16CD"/>
    <w:rsid w:val="003E33AF"/>
    <w:rsid w:val="003E784C"/>
    <w:rsid w:val="003E7C6A"/>
    <w:rsid w:val="003F780E"/>
    <w:rsid w:val="00401DC3"/>
    <w:rsid w:val="0040415D"/>
    <w:rsid w:val="00405094"/>
    <w:rsid w:val="004145AB"/>
    <w:rsid w:val="00421749"/>
    <w:rsid w:val="0042546D"/>
    <w:rsid w:val="004270B5"/>
    <w:rsid w:val="004278A9"/>
    <w:rsid w:val="00427D52"/>
    <w:rsid w:val="00431A1C"/>
    <w:rsid w:val="00441254"/>
    <w:rsid w:val="00451E01"/>
    <w:rsid w:val="00465910"/>
    <w:rsid w:val="00472BC7"/>
    <w:rsid w:val="00472D8C"/>
    <w:rsid w:val="004754B8"/>
    <w:rsid w:val="0047680F"/>
    <w:rsid w:val="00481813"/>
    <w:rsid w:val="00482A58"/>
    <w:rsid w:val="00483443"/>
    <w:rsid w:val="00492901"/>
    <w:rsid w:val="004A16BA"/>
    <w:rsid w:val="004A17A1"/>
    <w:rsid w:val="004A59FE"/>
    <w:rsid w:val="004B19FA"/>
    <w:rsid w:val="004B5FB2"/>
    <w:rsid w:val="004B76DC"/>
    <w:rsid w:val="004C0584"/>
    <w:rsid w:val="004C0EA7"/>
    <w:rsid w:val="004C2832"/>
    <w:rsid w:val="004C59C2"/>
    <w:rsid w:val="004D349B"/>
    <w:rsid w:val="004D3D29"/>
    <w:rsid w:val="004E21A0"/>
    <w:rsid w:val="004E3B9B"/>
    <w:rsid w:val="004F2914"/>
    <w:rsid w:val="00503704"/>
    <w:rsid w:val="00504887"/>
    <w:rsid w:val="00511D91"/>
    <w:rsid w:val="00513493"/>
    <w:rsid w:val="0051757D"/>
    <w:rsid w:val="00524079"/>
    <w:rsid w:val="00533F6E"/>
    <w:rsid w:val="00534E7A"/>
    <w:rsid w:val="005350A4"/>
    <w:rsid w:val="00535B92"/>
    <w:rsid w:val="00535BD7"/>
    <w:rsid w:val="00536D0A"/>
    <w:rsid w:val="00542DCF"/>
    <w:rsid w:val="00544104"/>
    <w:rsid w:val="00546CAC"/>
    <w:rsid w:val="005538F0"/>
    <w:rsid w:val="005542BE"/>
    <w:rsid w:val="00556F75"/>
    <w:rsid w:val="00560D85"/>
    <w:rsid w:val="00563043"/>
    <w:rsid w:val="005644F0"/>
    <w:rsid w:val="00570F14"/>
    <w:rsid w:val="0057453F"/>
    <w:rsid w:val="005779EB"/>
    <w:rsid w:val="00582227"/>
    <w:rsid w:val="00582375"/>
    <w:rsid w:val="00583239"/>
    <w:rsid w:val="00585463"/>
    <w:rsid w:val="005906DD"/>
    <w:rsid w:val="0059130A"/>
    <w:rsid w:val="00592C32"/>
    <w:rsid w:val="00593B65"/>
    <w:rsid w:val="00595002"/>
    <w:rsid w:val="005972C1"/>
    <w:rsid w:val="00597C7A"/>
    <w:rsid w:val="00597D1E"/>
    <w:rsid w:val="005A7BF9"/>
    <w:rsid w:val="005B19DF"/>
    <w:rsid w:val="005B1B33"/>
    <w:rsid w:val="005B22F4"/>
    <w:rsid w:val="005B41C0"/>
    <w:rsid w:val="005B7630"/>
    <w:rsid w:val="005C0DF3"/>
    <w:rsid w:val="005C691C"/>
    <w:rsid w:val="005E117A"/>
    <w:rsid w:val="005E6566"/>
    <w:rsid w:val="005E6D1A"/>
    <w:rsid w:val="005F0FE8"/>
    <w:rsid w:val="005F2329"/>
    <w:rsid w:val="005F263F"/>
    <w:rsid w:val="005F3A25"/>
    <w:rsid w:val="005F60BC"/>
    <w:rsid w:val="00600D6B"/>
    <w:rsid w:val="00603600"/>
    <w:rsid w:val="00603701"/>
    <w:rsid w:val="00603DD6"/>
    <w:rsid w:val="00605928"/>
    <w:rsid w:val="00607F42"/>
    <w:rsid w:val="0061044D"/>
    <w:rsid w:val="00611561"/>
    <w:rsid w:val="0061496B"/>
    <w:rsid w:val="00615DFD"/>
    <w:rsid w:val="00627A82"/>
    <w:rsid w:val="00627D89"/>
    <w:rsid w:val="006319AD"/>
    <w:rsid w:val="00634B9E"/>
    <w:rsid w:val="00635E57"/>
    <w:rsid w:val="00636E2A"/>
    <w:rsid w:val="00644791"/>
    <w:rsid w:val="006602B5"/>
    <w:rsid w:val="00664BF0"/>
    <w:rsid w:val="006743EC"/>
    <w:rsid w:val="00680536"/>
    <w:rsid w:val="0068420A"/>
    <w:rsid w:val="00685D08"/>
    <w:rsid w:val="00693536"/>
    <w:rsid w:val="0069679D"/>
    <w:rsid w:val="006974E7"/>
    <w:rsid w:val="006A1299"/>
    <w:rsid w:val="006A4090"/>
    <w:rsid w:val="006B164B"/>
    <w:rsid w:val="006B391C"/>
    <w:rsid w:val="006C04F9"/>
    <w:rsid w:val="006C083C"/>
    <w:rsid w:val="006C2122"/>
    <w:rsid w:val="006D27DE"/>
    <w:rsid w:val="006F2FDF"/>
    <w:rsid w:val="006F4A12"/>
    <w:rsid w:val="00714D46"/>
    <w:rsid w:val="0071661C"/>
    <w:rsid w:val="007224D3"/>
    <w:rsid w:val="007225CD"/>
    <w:rsid w:val="007233A4"/>
    <w:rsid w:val="00730AD4"/>
    <w:rsid w:val="00730CA7"/>
    <w:rsid w:val="00737F54"/>
    <w:rsid w:val="00742994"/>
    <w:rsid w:val="007452FE"/>
    <w:rsid w:val="00747ED1"/>
    <w:rsid w:val="00750A64"/>
    <w:rsid w:val="00751FA6"/>
    <w:rsid w:val="00752238"/>
    <w:rsid w:val="007547D6"/>
    <w:rsid w:val="007565BF"/>
    <w:rsid w:val="00756EBD"/>
    <w:rsid w:val="00767812"/>
    <w:rsid w:val="00777862"/>
    <w:rsid w:val="0078085C"/>
    <w:rsid w:val="007824F0"/>
    <w:rsid w:val="00783E47"/>
    <w:rsid w:val="00786871"/>
    <w:rsid w:val="00792436"/>
    <w:rsid w:val="00793AF9"/>
    <w:rsid w:val="00794936"/>
    <w:rsid w:val="007A711B"/>
    <w:rsid w:val="007A72A4"/>
    <w:rsid w:val="007B0633"/>
    <w:rsid w:val="007C1CDB"/>
    <w:rsid w:val="007C2ECC"/>
    <w:rsid w:val="007D1DCD"/>
    <w:rsid w:val="007D4D2E"/>
    <w:rsid w:val="007E0304"/>
    <w:rsid w:val="007E18C8"/>
    <w:rsid w:val="007E237F"/>
    <w:rsid w:val="007E4775"/>
    <w:rsid w:val="007E4B46"/>
    <w:rsid w:val="007E59DD"/>
    <w:rsid w:val="008008C0"/>
    <w:rsid w:val="008052D6"/>
    <w:rsid w:val="00805848"/>
    <w:rsid w:val="00806385"/>
    <w:rsid w:val="00812430"/>
    <w:rsid w:val="00813030"/>
    <w:rsid w:val="00823275"/>
    <w:rsid w:val="00826C04"/>
    <w:rsid w:val="008301E0"/>
    <w:rsid w:val="00830ADA"/>
    <w:rsid w:val="00832AAA"/>
    <w:rsid w:val="00843D5B"/>
    <w:rsid w:val="00845BEA"/>
    <w:rsid w:val="00863D8E"/>
    <w:rsid w:val="0087486B"/>
    <w:rsid w:val="00875220"/>
    <w:rsid w:val="00875D3A"/>
    <w:rsid w:val="00877298"/>
    <w:rsid w:val="00877BBD"/>
    <w:rsid w:val="008830D6"/>
    <w:rsid w:val="00886BE0"/>
    <w:rsid w:val="00891A4C"/>
    <w:rsid w:val="00891F25"/>
    <w:rsid w:val="008A392A"/>
    <w:rsid w:val="008A4222"/>
    <w:rsid w:val="008A4DE0"/>
    <w:rsid w:val="008A54A1"/>
    <w:rsid w:val="008B0C1E"/>
    <w:rsid w:val="008B1327"/>
    <w:rsid w:val="008B2208"/>
    <w:rsid w:val="008B7D57"/>
    <w:rsid w:val="008C3EEB"/>
    <w:rsid w:val="008C516A"/>
    <w:rsid w:val="008D12EE"/>
    <w:rsid w:val="008D18D1"/>
    <w:rsid w:val="008D3F65"/>
    <w:rsid w:val="008E162A"/>
    <w:rsid w:val="008E19F6"/>
    <w:rsid w:val="008E3D83"/>
    <w:rsid w:val="008F2DA8"/>
    <w:rsid w:val="008F3561"/>
    <w:rsid w:val="008F5D6E"/>
    <w:rsid w:val="00904D1E"/>
    <w:rsid w:val="00906A46"/>
    <w:rsid w:val="00910134"/>
    <w:rsid w:val="0091304A"/>
    <w:rsid w:val="009142CC"/>
    <w:rsid w:val="00914EB5"/>
    <w:rsid w:val="00916DE7"/>
    <w:rsid w:val="00922930"/>
    <w:rsid w:val="00924B9E"/>
    <w:rsid w:val="00925343"/>
    <w:rsid w:val="009310E2"/>
    <w:rsid w:val="00932AA0"/>
    <w:rsid w:val="00934F2C"/>
    <w:rsid w:val="009363E1"/>
    <w:rsid w:val="00941278"/>
    <w:rsid w:val="009470B3"/>
    <w:rsid w:val="009528AC"/>
    <w:rsid w:val="00952C2E"/>
    <w:rsid w:val="009569E4"/>
    <w:rsid w:val="0095790E"/>
    <w:rsid w:val="00984BD6"/>
    <w:rsid w:val="0099337F"/>
    <w:rsid w:val="009A06B8"/>
    <w:rsid w:val="009A674E"/>
    <w:rsid w:val="009A7859"/>
    <w:rsid w:val="009B0D2F"/>
    <w:rsid w:val="009B1DED"/>
    <w:rsid w:val="009B480A"/>
    <w:rsid w:val="009B5E40"/>
    <w:rsid w:val="009C071B"/>
    <w:rsid w:val="009C175D"/>
    <w:rsid w:val="009C1965"/>
    <w:rsid w:val="009D0255"/>
    <w:rsid w:val="009E21FE"/>
    <w:rsid w:val="009E7C50"/>
    <w:rsid w:val="009F7035"/>
    <w:rsid w:val="009F7437"/>
    <w:rsid w:val="009F74F0"/>
    <w:rsid w:val="00A028AE"/>
    <w:rsid w:val="00A03F07"/>
    <w:rsid w:val="00A0773C"/>
    <w:rsid w:val="00A1155A"/>
    <w:rsid w:val="00A15575"/>
    <w:rsid w:val="00A17730"/>
    <w:rsid w:val="00A25DD8"/>
    <w:rsid w:val="00A3329A"/>
    <w:rsid w:val="00A34E8B"/>
    <w:rsid w:val="00A53AF3"/>
    <w:rsid w:val="00A5601F"/>
    <w:rsid w:val="00A628F7"/>
    <w:rsid w:val="00A63621"/>
    <w:rsid w:val="00A65CDF"/>
    <w:rsid w:val="00A7115B"/>
    <w:rsid w:val="00A7467D"/>
    <w:rsid w:val="00A77638"/>
    <w:rsid w:val="00A80237"/>
    <w:rsid w:val="00A80B89"/>
    <w:rsid w:val="00A81FC0"/>
    <w:rsid w:val="00A84E7D"/>
    <w:rsid w:val="00A93934"/>
    <w:rsid w:val="00AA3374"/>
    <w:rsid w:val="00AA6364"/>
    <w:rsid w:val="00AA7672"/>
    <w:rsid w:val="00AB3BCA"/>
    <w:rsid w:val="00AB717E"/>
    <w:rsid w:val="00AC0BA8"/>
    <w:rsid w:val="00AC400F"/>
    <w:rsid w:val="00AD0517"/>
    <w:rsid w:val="00AD4845"/>
    <w:rsid w:val="00AD5607"/>
    <w:rsid w:val="00AD57CA"/>
    <w:rsid w:val="00AE4ECD"/>
    <w:rsid w:val="00AE6C31"/>
    <w:rsid w:val="00AF5120"/>
    <w:rsid w:val="00B02A9A"/>
    <w:rsid w:val="00B0531A"/>
    <w:rsid w:val="00B06219"/>
    <w:rsid w:val="00B100AD"/>
    <w:rsid w:val="00B10C95"/>
    <w:rsid w:val="00B151B1"/>
    <w:rsid w:val="00B16AFF"/>
    <w:rsid w:val="00B17696"/>
    <w:rsid w:val="00B2232E"/>
    <w:rsid w:val="00B332E1"/>
    <w:rsid w:val="00B3334D"/>
    <w:rsid w:val="00B360D6"/>
    <w:rsid w:val="00B36F12"/>
    <w:rsid w:val="00B45DEE"/>
    <w:rsid w:val="00B562FE"/>
    <w:rsid w:val="00B60061"/>
    <w:rsid w:val="00B718DC"/>
    <w:rsid w:val="00B722D3"/>
    <w:rsid w:val="00B730FC"/>
    <w:rsid w:val="00B73575"/>
    <w:rsid w:val="00B84210"/>
    <w:rsid w:val="00B95148"/>
    <w:rsid w:val="00B97464"/>
    <w:rsid w:val="00BB38A4"/>
    <w:rsid w:val="00BB514A"/>
    <w:rsid w:val="00BB5E4C"/>
    <w:rsid w:val="00BC6ABF"/>
    <w:rsid w:val="00BD1BE8"/>
    <w:rsid w:val="00BD2E04"/>
    <w:rsid w:val="00BD3725"/>
    <w:rsid w:val="00BE25B4"/>
    <w:rsid w:val="00BE3204"/>
    <w:rsid w:val="00BE3EE9"/>
    <w:rsid w:val="00BE7BB9"/>
    <w:rsid w:val="00BF09F3"/>
    <w:rsid w:val="00BF43DE"/>
    <w:rsid w:val="00BF4B6A"/>
    <w:rsid w:val="00BF4EFA"/>
    <w:rsid w:val="00C005AB"/>
    <w:rsid w:val="00C00E5D"/>
    <w:rsid w:val="00C03007"/>
    <w:rsid w:val="00C04EF6"/>
    <w:rsid w:val="00C04FDF"/>
    <w:rsid w:val="00C05E37"/>
    <w:rsid w:val="00C07667"/>
    <w:rsid w:val="00C07CE5"/>
    <w:rsid w:val="00C10E3D"/>
    <w:rsid w:val="00C13BA4"/>
    <w:rsid w:val="00C16773"/>
    <w:rsid w:val="00C16FAF"/>
    <w:rsid w:val="00C25EFC"/>
    <w:rsid w:val="00C26796"/>
    <w:rsid w:val="00C26D0D"/>
    <w:rsid w:val="00C318BB"/>
    <w:rsid w:val="00C320B4"/>
    <w:rsid w:val="00C35836"/>
    <w:rsid w:val="00C46CAB"/>
    <w:rsid w:val="00C472ED"/>
    <w:rsid w:val="00C47D2C"/>
    <w:rsid w:val="00C51824"/>
    <w:rsid w:val="00C520BB"/>
    <w:rsid w:val="00C5237A"/>
    <w:rsid w:val="00C60DB3"/>
    <w:rsid w:val="00C619AC"/>
    <w:rsid w:val="00C61EA0"/>
    <w:rsid w:val="00C67EA7"/>
    <w:rsid w:val="00C71A22"/>
    <w:rsid w:val="00C71D46"/>
    <w:rsid w:val="00C73518"/>
    <w:rsid w:val="00C74907"/>
    <w:rsid w:val="00C77267"/>
    <w:rsid w:val="00C81C86"/>
    <w:rsid w:val="00C8408A"/>
    <w:rsid w:val="00C86953"/>
    <w:rsid w:val="00C87084"/>
    <w:rsid w:val="00C921EE"/>
    <w:rsid w:val="00C94EEF"/>
    <w:rsid w:val="00CA3852"/>
    <w:rsid w:val="00CA513B"/>
    <w:rsid w:val="00CA6278"/>
    <w:rsid w:val="00CA676A"/>
    <w:rsid w:val="00CA7F6A"/>
    <w:rsid w:val="00CB15B7"/>
    <w:rsid w:val="00CB1610"/>
    <w:rsid w:val="00CB6251"/>
    <w:rsid w:val="00CB71AA"/>
    <w:rsid w:val="00CB7EA8"/>
    <w:rsid w:val="00CC02B4"/>
    <w:rsid w:val="00CC03EA"/>
    <w:rsid w:val="00CC4CF1"/>
    <w:rsid w:val="00CC602F"/>
    <w:rsid w:val="00CC6A19"/>
    <w:rsid w:val="00CD0A64"/>
    <w:rsid w:val="00CD5713"/>
    <w:rsid w:val="00CD6466"/>
    <w:rsid w:val="00CE1596"/>
    <w:rsid w:val="00CE3EBA"/>
    <w:rsid w:val="00CE623A"/>
    <w:rsid w:val="00CE6FFD"/>
    <w:rsid w:val="00CF4902"/>
    <w:rsid w:val="00CF5465"/>
    <w:rsid w:val="00D01259"/>
    <w:rsid w:val="00D02A48"/>
    <w:rsid w:val="00D07230"/>
    <w:rsid w:val="00D10110"/>
    <w:rsid w:val="00D1116E"/>
    <w:rsid w:val="00D12D58"/>
    <w:rsid w:val="00D1384F"/>
    <w:rsid w:val="00D14B22"/>
    <w:rsid w:val="00D15570"/>
    <w:rsid w:val="00D15958"/>
    <w:rsid w:val="00D16086"/>
    <w:rsid w:val="00D20A2B"/>
    <w:rsid w:val="00D26BCB"/>
    <w:rsid w:val="00D32899"/>
    <w:rsid w:val="00D334BD"/>
    <w:rsid w:val="00D35C73"/>
    <w:rsid w:val="00D379AA"/>
    <w:rsid w:val="00D41348"/>
    <w:rsid w:val="00D4170A"/>
    <w:rsid w:val="00D47FDE"/>
    <w:rsid w:val="00D51EA6"/>
    <w:rsid w:val="00D5538C"/>
    <w:rsid w:val="00D6261D"/>
    <w:rsid w:val="00D76C78"/>
    <w:rsid w:val="00D8024D"/>
    <w:rsid w:val="00D806FD"/>
    <w:rsid w:val="00D82463"/>
    <w:rsid w:val="00D83F49"/>
    <w:rsid w:val="00D863D5"/>
    <w:rsid w:val="00D90938"/>
    <w:rsid w:val="00D90976"/>
    <w:rsid w:val="00D939BC"/>
    <w:rsid w:val="00D94C34"/>
    <w:rsid w:val="00DA04B5"/>
    <w:rsid w:val="00DA0E36"/>
    <w:rsid w:val="00DA12FD"/>
    <w:rsid w:val="00DA34FA"/>
    <w:rsid w:val="00DA61C4"/>
    <w:rsid w:val="00DA7890"/>
    <w:rsid w:val="00DB1A00"/>
    <w:rsid w:val="00DB35D6"/>
    <w:rsid w:val="00DB5F72"/>
    <w:rsid w:val="00DC2ABE"/>
    <w:rsid w:val="00DC45C1"/>
    <w:rsid w:val="00DC5C80"/>
    <w:rsid w:val="00DC7D65"/>
    <w:rsid w:val="00DD1237"/>
    <w:rsid w:val="00DD42D5"/>
    <w:rsid w:val="00DD55F3"/>
    <w:rsid w:val="00DD65F7"/>
    <w:rsid w:val="00DE3859"/>
    <w:rsid w:val="00DF3E2D"/>
    <w:rsid w:val="00DF4565"/>
    <w:rsid w:val="00E02AFE"/>
    <w:rsid w:val="00E02E28"/>
    <w:rsid w:val="00E037B1"/>
    <w:rsid w:val="00E04405"/>
    <w:rsid w:val="00E07D58"/>
    <w:rsid w:val="00E1035C"/>
    <w:rsid w:val="00E11F71"/>
    <w:rsid w:val="00E14CEB"/>
    <w:rsid w:val="00E1584D"/>
    <w:rsid w:val="00E20E41"/>
    <w:rsid w:val="00E32CBA"/>
    <w:rsid w:val="00E339A4"/>
    <w:rsid w:val="00E3596C"/>
    <w:rsid w:val="00E40F7B"/>
    <w:rsid w:val="00E4422C"/>
    <w:rsid w:val="00E51260"/>
    <w:rsid w:val="00E535AD"/>
    <w:rsid w:val="00E56E9B"/>
    <w:rsid w:val="00E57983"/>
    <w:rsid w:val="00E61F8F"/>
    <w:rsid w:val="00E64589"/>
    <w:rsid w:val="00E779CD"/>
    <w:rsid w:val="00E83854"/>
    <w:rsid w:val="00E83E5A"/>
    <w:rsid w:val="00E90849"/>
    <w:rsid w:val="00E91865"/>
    <w:rsid w:val="00E91CC0"/>
    <w:rsid w:val="00EA7500"/>
    <w:rsid w:val="00EA7E70"/>
    <w:rsid w:val="00EB3D4C"/>
    <w:rsid w:val="00EB6509"/>
    <w:rsid w:val="00EC0CBA"/>
    <w:rsid w:val="00EC108A"/>
    <w:rsid w:val="00EC14ED"/>
    <w:rsid w:val="00EC3095"/>
    <w:rsid w:val="00EC356A"/>
    <w:rsid w:val="00EC40B8"/>
    <w:rsid w:val="00EC52FD"/>
    <w:rsid w:val="00EC751B"/>
    <w:rsid w:val="00ED2254"/>
    <w:rsid w:val="00EE155B"/>
    <w:rsid w:val="00EE2F17"/>
    <w:rsid w:val="00EE3ED1"/>
    <w:rsid w:val="00EE7B31"/>
    <w:rsid w:val="00EF08EB"/>
    <w:rsid w:val="00EF3B9E"/>
    <w:rsid w:val="00EF45EE"/>
    <w:rsid w:val="00F03098"/>
    <w:rsid w:val="00F05A55"/>
    <w:rsid w:val="00F12884"/>
    <w:rsid w:val="00F16C5D"/>
    <w:rsid w:val="00F2099C"/>
    <w:rsid w:val="00F2282F"/>
    <w:rsid w:val="00F23DD7"/>
    <w:rsid w:val="00F3282C"/>
    <w:rsid w:val="00F45035"/>
    <w:rsid w:val="00F60C73"/>
    <w:rsid w:val="00F61704"/>
    <w:rsid w:val="00F61F9E"/>
    <w:rsid w:val="00F656FC"/>
    <w:rsid w:val="00F70000"/>
    <w:rsid w:val="00F71A33"/>
    <w:rsid w:val="00F745A6"/>
    <w:rsid w:val="00F74A3C"/>
    <w:rsid w:val="00F800EE"/>
    <w:rsid w:val="00F82204"/>
    <w:rsid w:val="00F84999"/>
    <w:rsid w:val="00F91F74"/>
    <w:rsid w:val="00FA2661"/>
    <w:rsid w:val="00FA429D"/>
    <w:rsid w:val="00FA65AF"/>
    <w:rsid w:val="00FB17D7"/>
    <w:rsid w:val="00FB42CE"/>
    <w:rsid w:val="00FB5488"/>
    <w:rsid w:val="00FB68BC"/>
    <w:rsid w:val="00FB6993"/>
    <w:rsid w:val="00FC0152"/>
    <w:rsid w:val="00FC3A6F"/>
    <w:rsid w:val="00FC618E"/>
    <w:rsid w:val="00FD1C46"/>
    <w:rsid w:val="00FE5354"/>
    <w:rsid w:val="00FE67AE"/>
    <w:rsid w:val="00FF1757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63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88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5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6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72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6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68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03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0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4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9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2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22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7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21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2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4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41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7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1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5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1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2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6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51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56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775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339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2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57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8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0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5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0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ACC8-92B4-4C62-B1E2-98B948E93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73F92-DCFA-44C6-BFC7-86DDF14BC218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6E057-6CDC-4BE0-8586-7C06129C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FB26B-9955-400D-9E3A-3214173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Tancrede</dc:creator>
  <cp:lastModifiedBy>Katherine Woods</cp:lastModifiedBy>
  <cp:revision>3</cp:revision>
  <cp:lastPrinted>2014-04-08T15:44:00Z</cp:lastPrinted>
  <dcterms:created xsi:type="dcterms:W3CDTF">2015-06-08T15:22:00Z</dcterms:created>
  <dcterms:modified xsi:type="dcterms:W3CDTF">2015-06-08T15:57:00Z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0x0101009C289FFADDD76E42B1F74E2D6405826B</vt:lpwstr>
  </property>
</Properties>
</file>